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附件1</w:t>
      </w:r>
    </w:p>
    <w:p>
      <w:pPr>
        <w:adjustRightInd w:val="0"/>
        <w:snapToGrid w:val="0"/>
        <w:spacing w:line="360" w:lineRule="auto"/>
        <w:jc w:val="left"/>
        <w:rPr>
          <w:rFonts w:hint="eastAsia" w:ascii="方正小标宋简体" w:eastAsia="方正小标宋简体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/>
          <w:sz w:val="32"/>
          <w:szCs w:val="32"/>
          <w:highlight w:val="none"/>
        </w:rPr>
        <w:t>湖北省烟草专卖局（公司）2024年博士岗位招聘计划表</w:t>
      </w:r>
    </w:p>
    <w:tbl>
      <w:tblPr>
        <w:tblStyle w:val="2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275"/>
        <w:gridCol w:w="1275"/>
        <w:gridCol w:w="709"/>
        <w:gridCol w:w="1133"/>
        <w:gridCol w:w="1133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工作部门（单位）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所需专业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湖北省烟草专卖局（公司）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局（公司）机关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统计学、数字经济学、会计学（大数据方向）及相关专业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物流管理及相关专业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计算机类（软件工程、架构设计相关方向）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湖北省烟草科学研究院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烟草栽培调制研究中心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作物栽培学与耕作学、植物营养学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烟草病虫害研究中心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植物病理学、农药学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烟草良种繁育中心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生物工程、发酵工程、食品科学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3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烟草良种繁育中心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32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作物学、植物生理学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center"/>
        <w:textAlignment w:val="center"/>
        <w:rPr>
          <w:rFonts w:ascii="宋体" w:hAnsi="宋体"/>
          <w:b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360" w:lineRule="auto"/>
        <w:jc w:val="center"/>
        <w:textAlignment w:val="center"/>
        <w:rPr>
          <w:rFonts w:hint="eastAsia" w:ascii="宋体" w:hAnsi="宋体" w:cs="宋体"/>
          <w:color w:val="000000"/>
          <w:spacing w:val="-17"/>
          <w:kern w:val="0"/>
          <w:sz w:val="20"/>
          <w:szCs w:val="20"/>
          <w:highlight w:val="none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NTU2ZDM3ZTAxOTg5NWIyOWYxMDEyMWRmODRhM2MifQ=="/>
  </w:docVars>
  <w:rsids>
    <w:rsidRoot w:val="6C2677D2"/>
    <w:rsid w:val="6C2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2024-03-01T03:44:00Z</dcterms:created>
  <dc:creator>Lichen Dai</dc:creator>
  <cp:lastModifiedBy>Lichen Dai</cp:lastModifiedBy>
  <dcterms:modified xsi:type="dcterms:W3CDTF">2024-03-01T03:44:40Z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78E23BDD88F940ABB791DF9444021A51_11</vt:lpwstr>
  </property>
</Properties>
</file>