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ind w:firstLine="640" w:firstLineChars="200"/>
        <w:jc w:val="both"/>
        <w:outlineLvl w:val="9"/>
      </w:pPr>
      <w:bookmarkStart w:id="0" w:name="_GoBack"/>
      <w:bookmarkEnd w:id="0"/>
      <w:r>
        <w:rPr>
          <w:rFonts w:hint="eastAsia" w:ascii="黑体" w:hAnsi="黑体" w:eastAsia="黑体"/>
          <w:sz w:val="32"/>
          <w:szCs w:val="32"/>
          <w:lang w:eastAsia="zh-CN"/>
        </w:rPr>
        <w:t>附件</w:t>
      </w:r>
      <w:r>
        <w:rPr>
          <w:rFonts w:hint="eastAsia" w:ascii="黑体" w:hAnsi="黑体" w:eastAsia="黑体"/>
          <w:sz w:val="32"/>
          <w:szCs w:val="32"/>
          <w:lang w:val="en-US" w:eastAsia="zh-CN"/>
        </w:rPr>
        <w:t xml:space="preserve">3 </w:t>
      </w:r>
    </w:p>
    <w:p>
      <w:pPr>
        <w:keepNext w:val="0"/>
        <w:keepLines w:val="0"/>
        <w:pageBreakBefore w:val="0"/>
        <w:widowControl w:val="0"/>
        <w:kinsoku/>
        <w:wordWrap/>
        <w:overflowPunct/>
        <w:topLinePunct w:val="0"/>
        <w:autoSpaceDE/>
        <w:autoSpaceDN/>
        <w:bidi w:val="0"/>
        <w:snapToGrid/>
        <w:spacing w:line="560" w:lineRule="exact"/>
        <w:ind w:firstLine="880" w:firstLineChars="200"/>
        <w:jc w:val="center"/>
        <w:outlineLvl w:val="9"/>
        <w:rPr>
          <w:rFonts w:hint="eastAsia" w:ascii="方正小标宋简体" w:hAnsi="方正小标宋简体" w:eastAsia="方正小标宋简体"/>
          <w:sz w:val="44"/>
          <w:szCs w:val="44"/>
        </w:rPr>
      </w:pPr>
    </w:p>
    <w:p>
      <w:pPr>
        <w:keepNext w:val="0"/>
        <w:keepLines w:val="0"/>
        <w:pageBreakBefore w:val="0"/>
        <w:widowControl w:val="0"/>
        <w:kinsoku/>
        <w:wordWrap/>
        <w:overflowPunct/>
        <w:topLinePunct w:val="0"/>
        <w:autoSpaceDE/>
        <w:autoSpaceDN/>
        <w:bidi w:val="0"/>
        <w:snapToGrid/>
        <w:spacing w:line="560" w:lineRule="exact"/>
        <w:ind w:firstLine="880" w:firstLineChars="200"/>
        <w:jc w:val="center"/>
        <w:outlineLvl w:val="9"/>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事业单位人事管理回避规定</w:t>
      </w:r>
    </w:p>
    <w:p>
      <w:pPr>
        <w:pStyle w:val="13"/>
        <w:rPr>
          <w:rFonts w:hint="eastAsia"/>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outlineLvl w:val="9"/>
        <w:rPr>
          <w:rFonts w:hint="eastAsia" w:ascii="黑体" w:hAnsi="黑体" w:eastAsia="黑体"/>
          <w:sz w:val="32"/>
          <w:szCs w:val="32"/>
        </w:rPr>
      </w:pPr>
      <w:r>
        <w:rPr>
          <w:rFonts w:hint="eastAsia" w:ascii="黑体" w:hAnsi="黑体" w:eastAsia="黑体"/>
          <w:sz w:val="32"/>
          <w:szCs w:val="32"/>
        </w:rPr>
        <w:t>第一章 总则</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第一条 为规范事业单位人事管理工作，维护人事管理公平公正，根据《事业单位人事管理条例》及有关法律法规，制定本规定。</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第三条 本规定所称事业单位人事管理回避包括岗位回避和履职回避。</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第四条 事业单位人事管理工作所有参与方以及可能影响公正的特定关系人需要回避的，适用本规定。</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事业单位领导人员回避按照本规定执行，法律法规另有规定的，从其规定。</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第五条 事业单位、主管部门、事业单位人事综合管理部门按照干部人事管理权限，负责事业单位人事管理回避的执行和监督。</w:t>
      </w:r>
    </w:p>
    <w:p>
      <w:pPr>
        <w:pStyle w:val="13"/>
        <w:rPr>
          <w:rFonts w:hint="eastAsia"/>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outlineLvl w:val="9"/>
        <w:rPr>
          <w:rFonts w:hint="eastAsia" w:ascii="黑体" w:hAnsi="黑体" w:eastAsia="黑体"/>
          <w:sz w:val="32"/>
          <w:szCs w:val="32"/>
        </w:rPr>
      </w:pPr>
      <w:r>
        <w:rPr>
          <w:rFonts w:hint="eastAsia" w:ascii="黑体" w:hAnsi="黑体" w:eastAsia="黑体"/>
          <w:sz w:val="32"/>
          <w:szCs w:val="32"/>
        </w:rPr>
        <w:t>第二章 岗位回避</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（一）夫妻关系；</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（二）直系血亲关系，包括祖父母、外祖父母、父母、子女、孙子女、外孙子女；</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（三）三代以内旁系血亲关系，包括叔伯姑舅姨、兄弟姐妹、堂兄弟姐妹、表兄弟姐妹、侄子女、甥子女；</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（四）近姻亲关系，包括配偶的父母、配偶的兄弟姐妹及其配偶、子女的配偶及子女配偶的父母、三代以内旁系血亲的配偶；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（五）其他亲属关系，包括养父母子女、形成抚养关系的继父母子女及由此形成的直系血亲、三代以内旁系血亲和近姻亲关系。</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前款所称同一事业单位，是指依法登记的同一事业单位法人。</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第七条 本规定所称直接上下级领导关系包括：</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（一）领导班子正职与副职；</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（二）同一内设机构正职与副职；</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（三）上级正职、副职与下级正职；</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（四）单位无内设机构的，其正职、副职与其他管理人员以及从事审计、财务工作的专业技术人员；</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（五）内设机构无下一级单位的，其正职、副职与其他管理人员以及从事审计、财务工作的专业技术人员。</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第八条 事业单位工作人员岗位回避按照以下程序办理：</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（一）本人提出回避申请，或者有关单位、人员提出回避要求。</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（二）所在单位或者主管部门按照干部人事管理权限在一个月内作出回避决定。作出回避决定前，应当听取需要回避人员及相关人员的意见。</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（三）回避决定作出后，及时通知申请人，需要回避的，应当自回避决定作出之日起1个月内调整至相应岗位，并变更或者重新订立聘用合同。</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第九条 岗位等级不同的一般由岗位等级较低的一方回避；岗位等级相同或者岗位类别不同的，根据工作需要和实际情况决定其中一方回避。</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第十条 因地域、专业、工作性质特殊等因素，需要灵活执行岗位回避政策的，可由省级以上事业单位人事综合管理部门、中央和国家机关各部门结合实际作出具体规定。</w:t>
      </w:r>
    </w:p>
    <w:p>
      <w:pPr>
        <w:pStyle w:val="13"/>
        <w:rPr>
          <w:rFonts w:hint="eastAsia"/>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outlineLvl w:val="9"/>
        <w:rPr>
          <w:rFonts w:hint="eastAsia" w:ascii="黑体" w:hAnsi="黑体" w:eastAsia="黑体"/>
          <w:sz w:val="32"/>
          <w:szCs w:val="32"/>
        </w:rPr>
      </w:pPr>
      <w:r>
        <w:rPr>
          <w:rFonts w:hint="eastAsia" w:ascii="黑体" w:hAnsi="黑体" w:eastAsia="黑体"/>
          <w:sz w:val="32"/>
          <w:szCs w:val="32"/>
        </w:rPr>
        <w:t>第三章 履职回避</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第十一条 事业单位工作人员应当回避的履职活动包括：</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（一）岗位设置、公开招聘、聘用解聘（任免）、考核考察、奖励、处分、交流、人事争议处理、出国（境）审批；</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（二）人事考试、职称评审、人才评价；</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（三）招生考试、项目评审、成果评选、资金审批与监管；</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（四）其他应当回避的履职活动。</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第十二条 事业单位工作人员履行第十一条所列职责时，有下列情形之一的，应当回避，不得参加相关调查、考察、讨论、评议、投票、评分、审核、决定等活动，也不得以任何方式施加影响：</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（一）涉及本人利害关系的；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（二）涉及与本人有本规定第六条所列亲属关系人员的利害关系的；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（三）其他可能影响公正履行职责的。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第十三条 事业单位工作人员履职回避按照以下程序办理：</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（一）本人或利害关系人提出回避申请，或者有关单位提出回避要求。</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（三）根据回避决定需要回避的，应当自回避决定作出之日起退出相关工作。</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回避决定应当及时作出。回避决定作出前，本人可视情况确定是否先行退出相关履职活动。</w:t>
      </w:r>
    </w:p>
    <w:p>
      <w:pPr>
        <w:keepNext w:val="0"/>
        <w:keepLines w:val="0"/>
        <w:pageBreakBefore w:val="0"/>
        <w:widowControl w:val="0"/>
        <w:numPr>
          <w:ilvl w:val="0"/>
          <w:numId w:val="1"/>
        </w:numPr>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13"/>
        <w:numPr>
          <w:ilvl w:val="0"/>
          <w:numId w:val="0"/>
        </w:numPr>
        <w:rPr>
          <w:rFonts w:hint="eastAsia"/>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outlineLvl w:val="9"/>
        <w:rPr>
          <w:rFonts w:hint="eastAsia" w:ascii="黑体" w:hAnsi="黑体" w:eastAsia="黑体"/>
          <w:sz w:val="32"/>
          <w:szCs w:val="32"/>
        </w:rPr>
      </w:pPr>
      <w:r>
        <w:rPr>
          <w:rFonts w:hint="eastAsia" w:ascii="黑体" w:hAnsi="黑体" w:eastAsia="黑体"/>
          <w:sz w:val="32"/>
          <w:szCs w:val="32"/>
        </w:rPr>
        <w:t>第四章 管理与监督</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第十五条 按照干部人事管理权限应当由事业单位作出或者授权作出回避决定的，特殊情况下，主管部门或者事业单位人事综合管理部门可以直接作出。</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第十六条 事业单位工作人员必须服从回避决定，无正当理由拒不服从的，视情节轻重依法依规给予组织处理或处分。所在单位、主管部门负责督促回避决定落实到位。</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事业单位工作人员应当主动报告应回避的情形。有需要回避的情形不及时报告或者有意隐瞒的，予以批评教育；造成不良后果的，依法依规给予组织处理或处分。</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第十八条 由于相关人员隐瞒应当回避情形，造成工作结果不公正的，按照国家有关规定取消或者撤销获取的资质、资格、荣誉、奖金、学籍、岗位、项目、资金等。</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第二十条 对个人、组织据实反映本规定所列各类需要回避情形的，有关单位、部门应当按照干部人事管理权限及时处理。</w:t>
      </w:r>
    </w:p>
    <w:p>
      <w:pPr>
        <w:pStyle w:val="13"/>
        <w:rPr>
          <w:rFonts w:hint="eastAsia"/>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outlineLvl w:val="9"/>
        <w:rPr>
          <w:rFonts w:hint="eastAsia" w:ascii="黑体" w:hAnsi="黑体" w:eastAsia="黑体"/>
          <w:sz w:val="32"/>
          <w:szCs w:val="32"/>
        </w:rPr>
      </w:pPr>
      <w:r>
        <w:rPr>
          <w:rFonts w:hint="eastAsia" w:ascii="黑体" w:hAnsi="黑体" w:eastAsia="黑体"/>
          <w:sz w:val="32"/>
          <w:szCs w:val="32"/>
        </w:rPr>
        <w:t>第五章 附则</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第二十一条 主管部门对所属事业单位实施人事管理工作需要回避的，参照本规定执行，法律法规另有规定的从其规定。</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第二十二条 机关工勤人员的回避，参照本规定执行。</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第二十三条 本规定由中共中央组织部、人力资源社会保障部负责解释。</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第二十四条 本规定自2020年1月1日起施行。</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p>
    <w:p>
      <w:pPr>
        <w:pStyle w:val="13"/>
        <w:rPr>
          <w:rFonts w:hint="eastAsia" w:ascii="黑体" w:hAnsi="黑体" w:eastAsia="黑体"/>
          <w:sz w:val="32"/>
          <w:szCs w:val="32"/>
          <w:lang w:val="en-US" w:eastAsia="zh-CN"/>
        </w:rPr>
      </w:pPr>
    </w:p>
    <w:sectPr>
      <w:headerReference r:id="rId3" w:type="default"/>
      <w:footerReference r:id="rId4" w:type="default"/>
      <w:pgSz w:w="11906" w:h="16838"/>
      <w:pgMar w:top="1304" w:right="1531" w:bottom="1304" w:left="1531" w:header="885" w:footer="1134" w:gutter="0"/>
      <w:pgNumType w:fmt="decimal"/>
      <w:cols w:space="720" w:num="1"/>
      <w:docGrid w:type="linesAndChar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ind w:right="360" w:firstLine="360"/>
      <w:rPr>
        <w:sz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3075"/>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2"/>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txbxContent>
                    </wps:txbx>
                    <wps:bodyPr rot="0" vert="horz" wrap="square" lIns="91440" tIns="45720" rIns="91440" bIns="45720" anchor="t" anchorCtr="0"/>
                  </wps:wsp>
                </a:graphicData>
              </a:graphic>
            </wp:anchor>
          </w:drawing>
        </mc:Choice>
        <mc:Fallback>
          <w:pict>
            <v:rect id="_x0000_s3075"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bPBNMAAAAFAQAADwAAAAAAAAABACAAAAAiAAAAZHJzL2Rvd25yZXYueG1sUEsBAhQAFAAA&#10;AAgAh07iQDjptfS7AQAAhgMAAA4AAAAAAAAAAQAgAAAAIgEAAGRycy9lMm9Eb2MueG1sUEsFBgAA&#10;AAAGAAYAWQEAAE8FAAAAAA==&#10;">
              <v:fill on="f" focussize="0,0"/>
              <v:stroke on="f"/>
              <v:imagedata o:title=""/>
              <o:lock v:ext="edit" aspectratio="f"/>
              <v:textbox>
                <w:txbxContent>
                  <w:p>
                    <w:pPr>
                      <w:pStyle w:val="22"/>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000000"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B9DF7"/>
    <w:multiLevelType w:val="singleLevel"/>
    <w:tmpl w:val="855B9DF7"/>
    <w:lvl w:ilvl="0" w:tentative="0">
      <w:start w:val="1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B41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31"/>
    <w:basedOn w:val="1"/>
    <w:uiPriority w:val="0"/>
    <w:pPr>
      <w:keepNext/>
      <w:keepLines/>
      <w:spacing w:before="260" w:after="260" w:line="416" w:lineRule="auto"/>
      <w:outlineLvl w:val="2"/>
    </w:pPr>
    <w:rPr>
      <w:b/>
      <w:bCs/>
      <w:sz w:val="32"/>
      <w:szCs w:val="32"/>
    </w:rPr>
  </w:style>
  <w:style w:type="character" w:customStyle="1" w:styleId="5">
    <w:name w:val="默认段落字体1"/>
    <w:link w:val="1"/>
    <w:uiPriority w:val="0"/>
  </w:style>
  <w:style w:type="table" w:customStyle="1" w:styleId="6">
    <w:name w:val="普通表格1"/>
    <w:uiPriority w:val="0"/>
  </w:style>
  <w:style w:type="character" w:customStyle="1" w:styleId="7">
    <w:name w:val="正文文本缩进 Char"/>
    <w:link w:val="8"/>
    <w:uiPriority w:val="0"/>
    <w:rPr>
      <w:rFonts w:ascii="仿宋_GB2312" w:eastAsia="仿宋_GB2312"/>
      <w:kern w:val="2"/>
      <w:sz w:val="32"/>
      <w:szCs w:val="24"/>
    </w:rPr>
  </w:style>
  <w:style w:type="paragraph" w:customStyle="1" w:styleId="8">
    <w:name w:val="正文文本缩进1"/>
    <w:basedOn w:val="1"/>
    <w:link w:val="7"/>
    <w:uiPriority w:val="0"/>
    <w:pPr>
      <w:ind w:firstLine="645"/>
    </w:pPr>
    <w:rPr>
      <w:rFonts w:ascii="仿宋_GB2312" w:eastAsia="仿宋_GB2312"/>
      <w:sz w:val="32"/>
    </w:rPr>
  </w:style>
  <w:style w:type="character" w:customStyle="1" w:styleId="9">
    <w:name w:val="页码1"/>
    <w:basedOn w:val="5"/>
    <w:link w:val="1"/>
    <w:uiPriority w:val="0"/>
  </w:style>
  <w:style w:type="character" w:customStyle="1" w:styleId="10">
    <w:name w:val="hei141"/>
    <w:link w:val="1"/>
    <w:uiPriority w:val="0"/>
    <w:rPr>
      <w:rFonts w:hint="eastAsia" w:ascii="宋体" w:hAnsi="宋体" w:eastAsia="宋体"/>
      <w:color w:val="000000"/>
      <w:sz w:val="21"/>
      <w:szCs w:val="21"/>
      <w:u w:val="none"/>
    </w:rPr>
  </w:style>
  <w:style w:type="paragraph" w:customStyle="1" w:styleId="11">
    <w:name w:val="Char Char"/>
    <w:basedOn w:val="1"/>
    <w:uiPriority w:val="0"/>
    <w:rPr>
      <w:rFonts w:ascii="Tahoma" w:hAnsi="Tahoma"/>
      <w:sz w:val="24"/>
      <w:szCs w:val="20"/>
    </w:rPr>
  </w:style>
  <w:style w:type="paragraph" w:customStyle="1" w:styleId="12">
    <w:name w:val="正文文本1"/>
    <w:basedOn w:val="1"/>
    <w:uiPriority w:val="0"/>
    <w:rPr>
      <w:sz w:val="32"/>
    </w:rPr>
  </w:style>
  <w:style w:type="paragraph" w:customStyle="1" w:styleId="13">
    <w:name w:val="正文文本 31"/>
    <w:basedOn w:val="1"/>
    <w:uiPriority w:val="0"/>
    <w:pPr>
      <w:spacing w:after="120"/>
    </w:pPr>
    <w:rPr>
      <w:sz w:val="16"/>
      <w:szCs w:val="16"/>
    </w:rPr>
  </w:style>
  <w:style w:type="paragraph" w:customStyle="1" w:styleId="14">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无间隔"/>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缩进1"/>
    <w:basedOn w:val="1"/>
    <w:uiPriority w:val="0"/>
    <w:pPr>
      <w:ind w:firstLine="200"/>
    </w:pPr>
    <w:rPr>
      <w:rFonts w:eastAsia="楷体_GB2312"/>
    </w:rPr>
  </w:style>
  <w:style w:type="paragraph" w:customStyle="1" w:styleId="17">
    <w:name w:val="正文文本缩进 21"/>
    <w:basedOn w:val="1"/>
    <w:qFormat/>
    <w:uiPriority w:val="0"/>
    <w:pPr>
      <w:ind w:left="2415" w:leftChars="350" w:hanging="1680" w:hangingChars="525"/>
    </w:pPr>
    <w:rPr>
      <w:sz w:val="32"/>
    </w:rPr>
  </w:style>
  <w:style w:type="paragraph" w:customStyle="1" w:styleId="18">
    <w:name w:val="日期1"/>
    <w:basedOn w:val="1"/>
    <w:uiPriority w:val="0"/>
    <w:pPr>
      <w:widowControl/>
    </w:pPr>
    <w:rPr>
      <w:kern w:val="0"/>
      <w:sz w:val="30"/>
      <w:szCs w:val="20"/>
    </w:rPr>
  </w:style>
  <w:style w:type="paragraph" w:customStyle="1" w:styleId="19">
    <w:name w:val="正文首行缩进 21"/>
    <w:basedOn w:val="8"/>
    <w:uiPriority w:val="0"/>
    <w:pPr>
      <w:ind w:firstLine="420" w:firstLineChars="200"/>
    </w:pPr>
  </w:style>
  <w:style w:type="paragraph" w:customStyle="1" w:styleId="20">
    <w:name w:val="页眉1"/>
    <w:basedOn w:val="1"/>
    <w:uiPriority w:val="0"/>
    <w:pPr>
      <w:pBdr>
        <w:bottom w:val="single" w:color="000000" w:sz="6" w:space="1"/>
      </w:pBdr>
      <w:tabs>
        <w:tab w:val="center" w:pos="4153"/>
        <w:tab w:val="right" w:pos="8306"/>
      </w:tabs>
      <w:snapToGrid w:val="0"/>
      <w:jc w:val="center"/>
    </w:pPr>
    <w:rPr>
      <w:sz w:val="18"/>
      <w:szCs w:val="18"/>
    </w:rPr>
  </w:style>
  <w:style w:type="paragraph" w:customStyle="1" w:styleId="21">
    <w:name w:val="批注框文本1"/>
    <w:basedOn w:val="1"/>
    <w:semiHidden/>
    <w:qFormat/>
    <w:uiPriority w:val="0"/>
    <w:rPr>
      <w:sz w:val="18"/>
      <w:szCs w:val="18"/>
    </w:rPr>
  </w:style>
  <w:style w:type="paragraph" w:customStyle="1" w:styleId="22">
    <w:name w:val="页脚1"/>
    <w:basedOn w:val="1"/>
    <w:uiPriority w:val="0"/>
    <w:pPr>
      <w:tabs>
        <w:tab w:val="center" w:pos="4153"/>
        <w:tab w:val="right" w:pos="8306"/>
      </w:tabs>
      <w:snapToGrid w:val="0"/>
      <w:jc w:val="left"/>
    </w:pPr>
    <w:rPr>
      <w:sz w:val="18"/>
      <w:szCs w:val="18"/>
    </w:rPr>
  </w:style>
  <w:style w:type="paragraph" w:customStyle="1" w:styleId="23">
    <w:name w:val="普通(网站)1"/>
    <w:basedOn w:val="1"/>
    <w:qFormat/>
    <w:uiPriority w:val="0"/>
    <w:pPr>
      <w:widowControl/>
      <w:spacing w:before="100" w:beforeAutospacing="1" w:after="100" w:afterAutospacing="1"/>
      <w:jc w:val="left"/>
    </w:pPr>
    <w:rPr>
      <w:rFonts w:ascii="宋体" w:hAnsi="宋体"/>
      <w:color w:val="000000"/>
      <w:kern w:val="0"/>
      <w:sz w:val="18"/>
      <w:szCs w:val="18"/>
    </w:rPr>
  </w:style>
  <w:style w:type="paragraph" w:customStyle="1" w:styleId="24">
    <w:name w:val="Char"/>
    <w:basedOn w:val="1"/>
    <w:qFormat/>
    <w:uiPriority w:val="0"/>
    <w:pPr>
      <w:ind w:left="-48"/>
    </w:pPr>
  </w:style>
  <w:style w:type="paragraph" w:customStyle="1" w:styleId="25">
    <w:name w:val="Char1"/>
    <w:basedOn w:val="1"/>
    <w:uiPriority w:val="0"/>
    <w:pPr>
      <w:widowControl/>
      <w:spacing w:after="160" w:line="240" w:lineRule="exact"/>
      <w:ind w:firstLine="602" w:firstLineChars="250"/>
      <w:jc w:val="center"/>
    </w:pPr>
    <w:rPr>
      <w:rFonts w:ascii="黑体" w:hAnsi="Verdana" w:eastAsia="黑体"/>
      <w:b/>
      <w:kern w:val="0"/>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2023-10-26T01:57:49Z</dcterms:created>
  <dc:creator>zyw</dc:creator>
  <cp:lastModifiedBy>zyw</cp:lastModifiedBy>
  <dcterms:modified xsi:type="dcterms:W3CDTF">2023-10-26T01:58:10Z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EAACCC479DC54239AFF459D2F3929683</vt:lpwstr>
  </property>
</Properties>
</file>