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98" w:rsidRDefault="00F93198" w:rsidP="00F93198">
      <w:pPr>
        <w:spacing w:line="600" w:lineRule="exact"/>
        <w:jc w:val="left"/>
        <w:rPr>
          <w:rFonts w:eastAsia="黑体" w:hint="eastAsia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2</w:t>
      </w:r>
    </w:p>
    <w:p w:rsidR="00F93198" w:rsidRDefault="00F93198" w:rsidP="00F93198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成都市新津区人民医院及其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医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共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体单位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公开招聘编外聘用人员岗位表</w:t>
      </w:r>
    </w:p>
    <w:p w:rsidR="00F93198" w:rsidRDefault="00F93198" w:rsidP="00F93198">
      <w:pPr>
        <w:pStyle w:val="HTML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54"/>
        <w:gridCol w:w="1056"/>
        <w:gridCol w:w="1281"/>
        <w:gridCol w:w="1623"/>
        <w:gridCol w:w="817"/>
        <w:gridCol w:w="7657"/>
      </w:tblGrid>
      <w:tr w:rsidR="00F93198" w:rsidTr="009A21D8">
        <w:trPr>
          <w:trHeight w:val="300"/>
        </w:trPr>
        <w:tc>
          <w:tcPr>
            <w:tcW w:w="15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/>
              </w:rPr>
              <w:t>招聘单位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/>
              </w:rPr>
              <w:t>招聘岗位</w:t>
            </w:r>
          </w:p>
        </w:tc>
        <w:tc>
          <w:tcPr>
            <w:tcW w:w="113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/>
              </w:rPr>
              <w:t>岗位条件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/>
              </w:rPr>
              <w:t>需求数量</w:t>
            </w:r>
          </w:p>
        </w:tc>
        <w:tc>
          <w:tcPr>
            <w:tcW w:w="7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/>
              </w:rPr>
              <w:t>其他条件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成都市新津区人民医院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儿科医师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临床医学或儿科学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普通高等教育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本科及以上学历并取得相应学位证书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Style w:val="font21"/>
                <w:rFonts w:hint="default"/>
                <w:lang/>
              </w:rPr>
              <w:t>、具有省级及以上卫生健康行政部门颁发的儿科专业住院医师</w:t>
            </w:r>
            <w:proofErr w:type="gramStart"/>
            <w:r>
              <w:rPr>
                <w:rStyle w:val="font21"/>
                <w:rFonts w:hint="default"/>
                <w:lang/>
              </w:rPr>
              <w:t>规</w:t>
            </w:r>
            <w:proofErr w:type="gramEnd"/>
            <w:r>
              <w:rPr>
                <w:rStyle w:val="font21"/>
                <w:rFonts w:hint="default"/>
                <w:lang/>
              </w:rPr>
              <w:t>培合格证明材料或中级及以上儿科学类卫生专业技术资格证；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Style w:val="font21"/>
                <w:rFonts w:hint="default"/>
                <w:lang/>
              </w:rPr>
              <w:t>、</w:t>
            </w:r>
            <w:r>
              <w:rPr>
                <w:rStyle w:val="font41"/>
                <w:lang/>
              </w:rPr>
              <w:t>须具有医师执业资格证；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Style w:val="font21"/>
                <w:rFonts w:hint="default"/>
                <w:lang/>
              </w:rPr>
              <w:t>、</w:t>
            </w:r>
            <w:r>
              <w:rPr>
                <w:rStyle w:val="font41"/>
                <w:lang/>
              </w:rPr>
              <w:t>18</w:t>
            </w:r>
            <w:r>
              <w:rPr>
                <w:rStyle w:val="font21"/>
                <w:rFonts w:hint="default"/>
                <w:lang/>
              </w:rPr>
              <w:t>周岁以上，</w:t>
            </w:r>
            <w:r>
              <w:rPr>
                <w:rStyle w:val="font91"/>
                <w:lang/>
              </w:rPr>
              <w:t>35</w:t>
            </w:r>
            <w:r>
              <w:rPr>
                <w:rStyle w:val="font21"/>
                <w:rFonts w:hint="default"/>
                <w:lang/>
              </w:rPr>
              <w:t>周岁及以下（具有中级职称专业技术人员放宽至</w:t>
            </w:r>
            <w:r>
              <w:rPr>
                <w:rStyle w:val="font91"/>
                <w:lang/>
              </w:rPr>
              <w:t>40</w:t>
            </w:r>
            <w:r>
              <w:rPr>
                <w:rStyle w:val="font21"/>
                <w:rFonts w:hint="default"/>
                <w:lang/>
              </w:rPr>
              <w:t>周岁；具有副高级职称</w:t>
            </w:r>
            <w:r>
              <w:rPr>
                <w:rStyle w:val="font41"/>
                <w:lang/>
              </w:rPr>
              <w:t>及以上人员放宽至</w:t>
            </w:r>
            <w:r>
              <w:rPr>
                <w:rStyle w:val="font91"/>
                <w:lang/>
              </w:rPr>
              <w:t>50</w:t>
            </w:r>
            <w:r>
              <w:rPr>
                <w:rStyle w:val="font21"/>
                <w:rFonts w:hint="default"/>
                <w:lang/>
              </w:rPr>
              <w:t>周岁）。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急诊科医师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临床医学或急诊医学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普通高等教育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本科及以上学历并取得相应学位证书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861050">
            <w:pPr>
              <w:widowControl/>
              <w:spacing w:line="280" w:lineRule="exac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Style w:val="font21"/>
                <w:rFonts w:hint="default"/>
                <w:lang/>
              </w:rPr>
              <w:t>、具有省级及以上卫生健康行政部门颁发的住院医师</w:t>
            </w:r>
            <w:proofErr w:type="gramStart"/>
            <w:r>
              <w:rPr>
                <w:rStyle w:val="font21"/>
                <w:rFonts w:hint="default"/>
                <w:lang/>
              </w:rPr>
              <w:t>规</w:t>
            </w:r>
            <w:proofErr w:type="gramEnd"/>
            <w:r>
              <w:rPr>
                <w:rStyle w:val="font21"/>
                <w:rFonts w:hint="default"/>
                <w:lang/>
              </w:rPr>
              <w:t>培合格证明材料或中级及以上卫生专业技术资格证；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861050">
            <w:pPr>
              <w:widowControl/>
              <w:spacing w:line="280" w:lineRule="exac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Style w:val="font21"/>
                <w:rFonts w:hint="default"/>
                <w:lang/>
              </w:rPr>
              <w:t>、</w:t>
            </w:r>
            <w:r>
              <w:rPr>
                <w:rStyle w:val="font41"/>
                <w:lang/>
              </w:rPr>
              <w:t>须具有医师执业资格证；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861050"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Style w:val="font21"/>
                <w:rFonts w:hint="default"/>
                <w:lang/>
              </w:rPr>
              <w:t>、</w:t>
            </w:r>
            <w:r>
              <w:rPr>
                <w:rStyle w:val="font41"/>
                <w:lang/>
              </w:rPr>
              <w:t>18</w:t>
            </w:r>
            <w:r>
              <w:rPr>
                <w:rStyle w:val="font21"/>
                <w:rFonts w:hint="default"/>
                <w:lang/>
              </w:rPr>
              <w:t>周岁以上，</w:t>
            </w:r>
            <w:r>
              <w:rPr>
                <w:rStyle w:val="font91"/>
                <w:lang/>
              </w:rPr>
              <w:t>35</w:t>
            </w:r>
            <w:r>
              <w:rPr>
                <w:rStyle w:val="font21"/>
                <w:rFonts w:hint="default"/>
                <w:lang/>
              </w:rPr>
              <w:t>周岁及以下（具有中级职称专业技术人员放宽至</w:t>
            </w:r>
            <w:r>
              <w:rPr>
                <w:rStyle w:val="font91"/>
                <w:lang/>
              </w:rPr>
              <w:t>40</w:t>
            </w:r>
            <w:r>
              <w:rPr>
                <w:rStyle w:val="font21"/>
                <w:rFonts w:hint="default"/>
                <w:lang/>
              </w:rPr>
              <w:t>周岁）。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感染科医师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临床医学或内科学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普通高等教育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本科及以上学历并取得相应学位证书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Style w:val="font21"/>
                <w:rFonts w:hint="default"/>
                <w:lang/>
              </w:rPr>
              <w:t>、具有省级及以上卫生健康行政部门颁发的住院医师</w:t>
            </w:r>
            <w:proofErr w:type="gramStart"/>
            <w:r>
              <w:rPr>
                <w:rStyle w:val="font21"/>
                <w:rFonts w:hint="default"/>
                <w:lang/>
              </w:rPr>
              <w:t>规</w:t>
            </w:r>
            <w:proofErr w:type="gramEnd"/>
            <w:r>
              <w:rPr>
                <w:rStyle w:val="font21"/>
                <w:rFonts w:hint="default"/>
                <w:lang/>
              </w:rPr>
              <w:t>培合格证明材料或中级及以上卫生专业技术资格证；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Style w:val="font21"/>
                <w:rFonts w:hint="default"/>
                <w:lang/>
              </w:rPr>
              <w:t>、</w:t>
            </w:r>
            <w:r>
              <w:rPr>
                <w:rStyle w:val="font41"/>
                <w:lang/>
              </w:rPr>
              <w:t>须具有医师执业资格证；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Style w:val="font21"/>
                <w:rFonts w:hint="default"/>
                <w:lang/>
              </w:rPr>
              <w:t>、</w:t>
            </w:r>
            <w:r>
              <w:rPr>
                <w:rStyle w:val="font41"/>
                <w:lang/>
              </w:rPr>
              <w:t>18</w:t>
            </w:r>
            <w:r>
              <w:rPr>
                <w:rStyle w:val="font21"/>
                <w:rFonts w:hint="default"/>
                <w:lang/>
              </w:rPr>
              <w:t>周岁以上，</w:t>
            </w:r>
            <w:r>
              <w:rPr>
                <w:rStyle w:val="font91"/>
                <w:lang/>
              </w:rPr>
              <w:t>35</w:t>
            </w:r>
            <w:r>
              <w:rPr>
                <w:rStyle w:val="font21"/>
                <w:rFonts w:hint="default"/>
                <w:lang/>
              </w:rPr>
              <w:t>周岁及以下（具有中级职称专业技术人员放宽至</w:t>
            </w:r>
            <w:r>
              <w:rPr>
                <w:rStyle w:val="font91"/>
                <w:lang/>
              </w:rPr>
              <w:t>40</w:t>
            </w:r>
            <w:r>
              <w:rPr>
                <w:rStyle w:val="font21"/>
                <w:rFonts w:hint="default"/>
                <w:lang/>
              </w:rPr>
              <w:t>周岁；具有副高级职称</w:t>
            </w:r>
            <w:r>
              <w:rPr>
                <w:rStyle w:val="font41"/>
                <w:lang/>
              </w:rPr>
              <w:t>及以上人员放宽至</w:t>
            </w:r>
            <w:r>
              <w:rPr>
                <w:rStyle w:val="font91"/>
                <w:lang/>
              </w:rPr>
              <w:t>50</w:t>
            </w:r>
            <w:r>
              <w:rPr>
                <w:rStyle w:val="font21"/>
                <w:rFonts w:hint="default"/>
                <w:lang/>
              </w:rPr>
              <w:t>周岁）。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临床药师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药学或中药学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普通高等教育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硕士研究生及以上学历并取得相应学位证书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Pr="00861050" w:rsidRDefault="00F93198" w:rsidP="009A21D8">
            <w:pPr>
              <w:widowControl/>
              <w:jc w:val="center"/>
              <w:textAlignment w:val="center"/>
              <w:rPr>
                <w:rStyle w:val="font51"/>
                <w:color w:val="auto"/>
                <w:lang/>
              </w:rPr>
            </w:pPr>
            <w:r w:rsidRPr="00861050">
              <w:rPr>
                <w:rStyle w:val="font51"/>
                <w:color w:val="auto"/>
              </w:rPr>
              <w:t>1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Pr="00861050" w:rsidRDefault="00F93198" w:rsidP="009A21D8">
            <w:pPr>
              <w:widowControl/>
              <w:textAlignment w:val="center"/>
              <w:rPr>
                <w:rStyle w:val="font51"/>
                <w:color w:val="auto"/>
                <w:lang/>
              </w:rPr>
            </w:pPr>
            <w:r w:rsidRPr="00861050">
              <w:rPr>
                <w:rStyle w:val="font51"/>
                <w:color w:val="auto"/>
              </w:rPr>
              <w:t>1</w:t>
            </w:r>
            <w:r w:rsidRPr="00861050">
              <w:rPr>
                <w:rStyle w:val="font51"/>
                <w:color w:val="auto"/>
              </w:rPr>
              <w:t>、</w:t>
            </w:r>
            <w:r>
              <w:rPr>
                <w:rStyle w:val="font51"/>
                <w:color w:val="auto"/>
                <w:lang/>
              </w:rPr>
              <w:t>具有初级资格证书（</w:t>
            </w:r>
            <w:r w:rsidRPr="00861050">
              <w:rPr>
                <w:rStyle w:val="font51"/>
                <w:color w:val="auto"/>
              </w:rPr>
              <w:t>2023</w:t>
            </w:r>
            <w:r w:rsidRPr="00861050">
              <w:rPr>
                <w:rStyle w:val="font51"/>
                <w:color w:val="auto"/>
              </w:rPr>
              <w:t>年应届毕业生可取消对职称证书的限制）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Pr="00861050" w:rsidRDefault="00F93198" w:rsidP="009A21D8">
            <w:pPr>
              <w:jc w:val="center"/>
              <w:rPr>
                <w:rStyle w:val="font51"/>
                <w:color w:val="auto"/>
                <w:lang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Pr="00861050" w:rsidRDefault="00F93198" w:rsidP="009A21D8">
            <w:pPr>
              <w:widowControl/>
              <w:textAlignment w:val="center"/>
              <w:rPr>
                <w:rStyle w:val="font51"/>
                <w:color w:val="auto"/>
                <w:lang/>
              </w:rPr>
            </w:pPr>
            <w:r w:rsidRPr="00861050">
              <w:rPr>
                <w:rStyle w:val="font51"/>
                <w:color w:val="auto"/>
              </w:rPr>
              <w:t>2</w:t>
            </w:r>
            <w:r w:rsidRPr="00861050">
              <w:rPr>
                <w:rStyle w:val="font51"/>
                <w:color w:val="auto"/>
              </w:rPr>
              <w:t>、</w:t>
            </w:r>
            <w:r w:rsidRPr="00861050">
              <w:rPr>
                <w:rStyle w:val="font51"/>
                <w:color w:val="auto"/>
              </w:rPr>
              <w:t>18</w:t>
            </w:r>
            <w:r w:rsidRPr="00861050">
              <w:rPr>
                <w:rStyle w:val="font51"/>
                <w:color w:val="auto"/>
              </w:rPr>
              <w:t>周岁以上，</w:t>
            </w:r>
            <w:r w:rsidRPr="00861050">
              <w:rPr>
                <w:rStyle w:val="font51"/>
                <w:color w:val="auto"/>
              </w:rPr>
              <w:t>35</w:t>
            </w:r>
            <w:r w:rsidRPr="00861050">
              <w:rPr>
                <w:rStyle w:val="font51"/>
                <w:color w:val="auto"/>
              </w:rPr>
              <w:t>周岁及以下</w:t>
            </w:r>
          </w:p>
        </w:tc>
      </w:tr>
      <w:tr w:rsidR="00F93198" w:rsidTr="009A21D8">
        <w:trPr>
          <w:trHeight w:val="30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外科医师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普通高等教育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硕士研究生及以上学历并取得相应学位证书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Style w:val="font21"/>
                <w:rFonts w:hint="default"/>
                <w:lang/>
              </w:rPr>
              <w:t>、具有省级及以上卫生健康行政部门颁发的外科专业住院医师</w:t>
            </w:r>
            <w:proofErr w:type="gramStart"/>
            <w:r>
              <w:rPr>
                <w:rStyle w:val="font21"/>
                <w:rFonts w:hint="default"/>
                <w:lang/>
              </w:rPr>
              <w:t>规</w:t>
            </w:r>
            <w:proofErr w:type="gramEnd"/>
            <w:r>
              <w:rPr>
                <w:rStyle w:val="font21"/>
                <w:rFonts w:hint="default"/>
                <w:lang/>
              </w:rPr>
              <w:t>培合格证明材料或中级及以上外科学类卫生专业技术资格证；</w:t>
            </w:r>
          </w:p>
        </w:tc>
      </w:tr>
      <w:tr w:rsidR="00F93198" w:rsidTr="009A21D8">
        <w:trPr>
          <w:trHeight w:val="285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Style w:val="font21"/>
                <w:rFonts w:hint="default"/>
                <w:lang/>
              </w:rPr>
              <w:t>、</w:t>
            </w:r>
            <w:r>
              <w:rPr>
                <w:rStyle w:val="font41"/>
                <w:lang/>
              </w:rPr>
              <w:t>须具有医师执业资格证；</w:t>
            </w:r>
          </w:p>
        </w:tc>
      </w:tr>
      <w:tr w:rsidR="00F93198" w:rsidTr="009A21D8">
        <w:trPr>
          <w:trHeight w:val="285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Style w:val="font21"/>
                <w:rFonts w:hint="default"/>
                <w:lang/>
              </w:rPr>
              <w:t>、</w:t>
            </w:r>
            <w:r>
              <w:rPr>
                <w:rStyle w:val="font41"/>
                <w:lang/>
              </w:rPr>
              <w:t>18</w:t>
            </w:r>
            <w:r>
              <w:rPr>
                <w:rStyle w:val="font21"/>
                <w:rFonts w:hint="default"/>
                <w:lang/>
              </w:rPr>
              <w:t>周岁以上，</w:t>
            </w:r>
            <w:r>
              <w:rPr>
                <w:rStyle w:val="font91"/>
                <w:lang/>
              </w:rPr>
              <w:t>35</w:t>
            </w:r>
            <w:r>
              <w:rPr>
                <w:rStyle w:val="font21"/>
                <w:rFonts w:hint="default"/>
                <w:lang/>
              </w:rPr>
              <w:t>周岁及以下（具有中级职称专业技术人员放宽至</w:t>
            </w:r>
            <w:r>
              <w:rPr>
                <w:rStyle w:val="font91"/>
                <w:lang/>
              </w:rPr>
              <w:t>40</w:t>
            </w:r>
            <w:r>
              <w:rPr>
                <w:rStyle w:val="font21"/>
                <w:rFonts w:hint="default"/>
                <w:lang/>
              </w:rPr>
              <w:t>周岁）。</w:t>
            </w:r>
          </w:p>
        </w:tc>
      </w:tr>
      <w:tr w:rsidR="00F93198" w:rsidTr="009A21D8">
        <w:trPr>
          <w:trHeight w:val="285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神经内科医师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临床医学或内科学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普通高等教育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本科及以上学历并取得相应学位证书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Style w:val="font21"/>
                <w:rFonts w:hint="default"/>
                <w:lang/>
              </w:rPr>
              <w:t>、具有省级及以上卫生健康行政部门颁发的内科专业住院医师</w:t>
            </w:r>
            <w:proofErr w:type="gramStart"/>
            <w:r>
              <w:rPr>
                <w:rStyle w:val="font21"/>
                <w:rFonts w:hint="default"/>
                <w:lang/>
              </w:rPr>
              <w:t>规</w:t>
            </w:r>
            <w:proofErr w:type="gramEnd"/>
            <w:r>
              <w:rPr>
                <w:rStyle w:val="font21"/>
                <w:rFonts w:hint="default"/>
                <w:lang/>
              </w:rPr>
              <w:t>培合格证明材料或中级及以上</w:t>
            </w:r>
            <w:proofErr w:type="gramStart"/>
            <w:r>
              <w:rPr>
                <w:rStyle w:val="font21"/>
                <w:rFonts w:hint="default"/>
                <w:lang/>
              </w:rPr>
              <w:t>内科学类卫生</w:t>
            </w:r>
            <w:proofErr w:type="gramEnd"/>
            <w:r>
              <w:rPr>
                <w:rStyle w:val="font21"/>
                <w:rFonts w:hint="default"/>
                <w:lang/>
              </w:rPr>
              <w:t>专业技术资格证；</w:t>
            </w:r>
          </w:p>
        </w:tc>
      </w:tr>
      <w:tr w:rsidR="00F93198" w:rsidTr="009A21D8">
        <w:trPr>
          <w:trHeight w:val="285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Style w:val="font21"/>
                <w:rFonts w:hint="default"/>
                <w:lang/>
              </w:rPr>
              <w:t>、</w:t>
            </w:r>
            <w:r>
              <w:rPr>
                <w:rStyle w:val="font41"/>
                <w:lang/>
              </w:rPr>
              <w:t>须具有医师执业资格证，能独立完成神内介入手术</w:t>
            </w:r>
            <w:r>
              <w:rPr>
                <w:rStyle w:val="font41"/>
                <w:rFonts w:hint="eastAsia"/>
                <w:lang/>
              </w:rPr>
              <w:t>，且有三甲医院工作经历</w:t>
            </w:r>
          </w:p>
        </w:tc>
      </w:tr>
      <w:tr w:rsidR="00F93198" w:rsidTr="009A21D8">
        <w:trPr>
          <w:trHeight w:val="285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Style w:val="font21"/>
                <w:rFonts w:hint="default"/>
                <w:lang/>
              </w:rPr>
              <w:t>、</w:t>
            </w:r>
            <w:r>
              <w:rPr>
                <w:rStyle w:val="font41"/>
                <w:lang/>
              </w:rPr>
              <w:t>18</w:t>
            </w:r>
            <w:r>
              <w:rPr>
                <w:rStyle w:val="font21"/>
                <w:rFonts w:hint="default"/>
                <w:lang/>
              </w:rPr>
              <w:t>周岁以上，</w:t>
            </w:r>
            <w:r>
              <w:rPr>
                <w:rStyle w:val="font91"/>
                <w:lang/>
              </w:rPr>
              <w:t>35</w:t>
            </w:r>
            <w:r>
              <w:rPr>
                <w:rStyle w:val="font21"/>
                <w:rFonts w:hint="default"/>
                <w:lang/>
              </w:rPr>
              <w:t>周岁及以下（具有中级职称专业技术人员放宽至</w:t>
            </w:r>
            <w:r>
              <w:rPr>
                <w:rStyle w:val="font91"/>
                <w:lang/>
              </w:rPr>
              <w:t>40</w:t>
            </w:r>
            <w:r>
              <w:rPr>
                <w:rStyle w:val="font21"/>
                <w:rFonts w:hint="default"/>
                <w:lang/>
              </w:rPr>
              <w:t>周岁；具有副高级职称及以上人员放宽至</w:t>
            </w:r>
            <w:r>
              <w:rPr>
                <w:rStyle w:val="font91"/>
                <w:lang/>
              </w:rPr>
              <w:t>50</w:t>
            </w:r>
            <w:r>
              <w:rPr>
                <w:rStyle w:val="font21"/>
                <w:rFonts w:hint="default"/>
                <w:lang/>
              </w:rPr>
              <w:t>周岁）。</w:t>
            </w:r>
          </w:p>
        </w:tc>
      </w:tr>
      <w:tr w:rsidR="00F93198" w:rsidTr="009A21D8">
        <w:trPr>
          <w:trHeight w:val="45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基建科干事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工程管理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普通高等教育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本科及以上学历并取得相应学位证书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F93198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rFonts w:hint="default"/>
                <w:lang/>
              </w:rPr>
              <w:t>具有二级建造师及以上资格；</w:t>
            </w:r>
          </w:p>
          <w:p w:rsidR="00F93198" w:rsidRDefault="00F93198" w:rsidP="00F93198">
            <w:pPr>
              <w:widowControl/>
              <w:numPr>
                <w:ilvl w:val="0"/>
                <w:numId w:val="1"/>
              </w:numPr>
              <w:jc w:val="left"/>
              <w:textAlignment w:val="center"/>
            </w:pPr>
            <w:r>
              <w:t>18</w:t>
            </w:r>
            <w:r>
              <w:t>周岁以上，</w:t>
            </w:r>
            <w:r>
              <w:t>35</w:t>
            </w:r>
            <w:r>
              <w:t>周岁及以下</w:t>
            </w:r>
          </w:p>
        </w:tc>
      </w:tr>
      <w:tr w:rsidR="00F93198" w:rsidTr="009A21D8">
        <w:trPr>
          <w:trHeight w:val="480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安西镇公立卫生院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检验师（士）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医学检验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普通高等教育专科及以上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、需取得检验（士）师资格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F93198" w:rsidRDefault="00F93198" w:rsidP="009A21D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周岁以上，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周岁及以下</w:t>
            </w:r>
          </w:p>
        </w:tc>
      </w:tr>
      <w:tr w:rsidR="00F93198" w:rsidTr="009A21D8">
        <w:trPr>
          <w:trHeight w:val="480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护士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护理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专科及以上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、需取得护士执业资格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F93198" w:rsidRDefault="00F93198" w:rsidP="009A21D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周岁以上，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周岁及以下</w:t>
            </w:r>
          </w:p>
        </w:tc>
      </w:tr>
      <w:tr w:rsidR="00F93198" w:rsidTr="009A21D8">
        <w:trPr>
          <w:trHeight w:val="4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永商镇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公立卫生院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检验师（士）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医学检验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普通高等教育专科及以上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、需取得检验士及以上资格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F93198" w:rsidRDefault="00F93198" w:rsidP="009A21D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周岁以上，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周岁及以下</w:t>
            </w:r>
          </w:p>
        </w:tc>
      </w:tr>
      <w:tr w:rsidR="00F93198" w:rsidTr="009A21D8">
        <w:trPr>
          <w:trHeight w:val="4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宝墩镇公立卫生院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护士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护理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专科及以上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、需取得护士执业资格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F93198" w:rsidRDefault="00F93198" w:rsidP="009A21D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周岁以上，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周岁及以下</w:t>
            </w:r>
          </w:p>
        </w:tc>
      </w:tr>
      <w:tr w:rsidR="00F93198" w:rsidTr="009A21D8">
        <w:trPr>
          <w:trHeight w:val="4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兴义镇中心卫生院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口腔科医师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口腔医学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专科及以上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left"/>
              <w:textAlignment w:val="center"/>
              <w:rPr>
                <w:rFonts w:hint="eastAsia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kern w:val="0"/>
                <w:sz w:val="18"/>
                <w:szCs w:val="18"/>
                <w:lang/>
              </w:rPr>
              <w:t>、具有执业（助理）医师资格证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；</w:t>
            </w:r>
          </w:p>
          <w:p w:rsidR="00F93198" w:rsidRDefault="00F93198" w:rsidP="009A21D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周岁以上，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周岁及以下</w:t>
            </w:r>
          </w:p>
        </w:tc>
      </w:tr>
      <w:tr w:rsidR="00F93198" w:rsidTr="009A21D8">
        <w:trPr>
          <w:trHeight w:val="4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武阳社区卫生服务中心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护士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护理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专科及以上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198" w:rsidRDefault="00F93198" w:rsidP="009A21D8"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、需取得护士执业资格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F93198" w:rsidRDefault="00F93198" w:rsidP="009A21D8">
            <w:pPr>
              <w:widowControl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18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周岁以上，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周岁及以下</w:t>
            </w:r>
          </w:p>
        </w:tc>
      </w:tr>
    </w:tbl>
    <w:p w:rsidR="00C21F19" w:rsidRPr="00F93198" w:rsidRDefault="00861050"/>
    <w:sectPr w:rsidR="00C21F19" w:rsidRPr="00F93198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FD0973"/>
    <w:multiLevelType w:val="singleLevel"/>
    <w:tmpl w:val="D6FD097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198"/>
    <w:rsid w:val="000C344B"/>
    <w:rsid w:val="000E3A54"/>
    <w:rsid w:val="00115257"/>
    <w:rsid w:val="0012435B"/>
    <w:rsid w:val="00126C43"/>
    <w:rsid w:val="00166997"/>
    <w:rsid w:val="00193CDB"/>
    <w:rsid w:val="001B1C15"/>
    <w:rsid w:val="001B250C"/>
    <w:rsid w:val="001C14BB"/>
    <w:rsid w:val="00214B78"/>
    <w:rsid w:val="002C3BB1"/>
    <w:rsid w:val="0034291C"/>
    <w:rsid w:val="00381BC1"/>
    <w:rsid w:val="003C6214"/>
    <w:rsid w:val="00581946"/>
    <w:rsid w:val="007159A7"/>
    <w:rsid w:val="00725572"/>
    <w:rsid w:val="00753267"/>
    <w:rsid w:val="00861050"/>
    <w:rsid w:val="00A03247"/>
    <w:rsid w:val="00A071CB"/>
    <w:rsid w:val="00A54C7B"/>
    <w:rsid w:val="00BD3860"/>
    <w:rsid w:val="00C35E7A"/>
    <w:rsid w:val="00C3766A"/>
    <w:rsid w:val="00C4568F"/>
    <w:rsid w:val="00C65066"/>
    <w:rsid w:val="00D159D3"/>
    <w:rsid w:val="00D70929"/>
    <w:rsid w:val="00E42A40"/>
    <w:rsid w:val="00E70935"/>
    <w:rsid w:val="00E8656E"/>
    <w:rsid w:val="00EB05BF"/>
    <w:rsid w:val="00EB237C"/>
    <w:rsid w:val="00F226C5"/>
    <w:rsid w:val="00F9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TML"/>
    <w:qFormat/>
    <w:rsid w:val="00F931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F93198"/>
    <w:rPr>
      <w:rFonts w:ascii="Courier New" w:hAnsi="Courier New" w:cs="Courier New" w:hint="default"/>
      <w:i w:val="0"/>
      <w:color w:val="000000"/>
      <w:sz w:val="18"/>
      <w:szCs w:val="18"/>
      <w:u w:val="none"/>
    </w:rPr>
  </w:style>
  <w:style w:type="character" w:customStyle="1" w:styleId="font81">
    <w:name w:val="font81"/>
    <w:basedOn w:val="a0"/>
    <w:rsid w:val="00F93198"/>
    <w:rPr>
      <w:rFonts w:ascii="Calibri" w:hAnsi="Calibri" w:cs="Calibri" w:hint="default"/>
      <w:i w:val="0"/>
      <w:color w:val="000000"/>
      <w:sz w:val="21"/>
      <w:szCs w:val="21"/>
      <w:u w:val="none"/>
    </w:rPr>
  </w:style>
  <w:style w:type="character" w:customStyle="1" w:styleId="font51">
    <w:name w:val="font51"/>
    <w:basedOn w:val="a0"/>
    <w:rsid w:val="00F93198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F93198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71">
    <w:name w:val="font71"/>
    <w:basedOn w:val="a0"/>
    <w:rsid w:val="00F93198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91">
    <w:name w:val="font91"/>
    <w:basedOn w:val="a0"/>
    <w:rsid w:val="00F93198"/>
    <w:rPr>
      <w:rFonts w:ascii="Calibri" w:hAnsi="Calibri" w:cs="Calibri"/>
      <w:i w:val="0"/>
      <w:color w:val="000000"/>
      <w:sz w:val="18"/>
      <w:szCs w:val="18"/>
      <w:u w:val="none"/>
    </w:rPr>
  </w:style>
  <w:style w:type="character" w:customStyle="1" w:styleId="font41">
    <w:name w:val="font41"/>
    <w:basedOn w:val="a0"/>
    <w:rsid w:val="00F93198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paragraph" w:styleId="HTML">
    <w:name w:val="HTML Preformatted"/>
    <w:basedOn w:val="a"/>
    <w:link w:val="HTMLChar"/>
    <w:uiPriority w:val="99"/>
    <w:unhideWhenUsed/>
    <w:rsid w:val="00F93198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F93198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Company>China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王云丽</dc:creator>
  <cp:lastModifiedBy>王云丽</cp:lastModifiedBy>
  <cp:revision>2</cp:revision>
  <dcterms:created xsi:type="dcterms:W3CDTF">2023-08-08T08:21:00Z</dcterms:created>
  <dcterms:modified xsi:type="dcterms:W3CDTF">2023-08-08T08:23:00Z</dcterms:modified>
</cp:coreProperties>
</file>