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巴林右旗巴林右旗2023年事业单位“绿色通道”引进急需紧缺人才自我评价表填报说明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一、公共评价项目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（一）专业层次方面：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1.一流大学和一流学科目录，以《教育部 财政部 国家发展改革委关于公布第二轮“双一流”建设高校及建设学科名单的通知》（教研函〔2022〕1号）为准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黑体" w:eastAsia="仿宋_GB2312"/>
          <w:sz w:val="32"/>
          <w:szCs w:val="32"/>
        </w:rPr>
        <w:t>后附具体名单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2.在一流学科认定上，所学专业须属该学科内专业。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3.海外学历报名人员，须提供获得奖学金证明文件材料（证明文件材料属外文的，须提供翻译文本）。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4.海外学历学校排名，以该校QS世界大学排名历史最高为准（须报名人员提供当年QS世界大学排名文件，无法提供的，以202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年QS世界大学排名为准）。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（二）成绩业绩方面：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以学校出具的加盖印章的研究生成绩单为准，按照下表对应赋分，以全部课程总成绩为准。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6"/>
        <w:gridCol w:w="2898"/>
        <w:gridCol w:w="21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百分制平均成绩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GPA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赋分值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85-100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3.7-4.0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99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75-84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2.7-3.6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15分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7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65-74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1.7-2.6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60-64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1.0-1.6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5分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不能提供有效成绩单的，不得分。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（三）研究成果方面：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1.需提供检索页、扫描文本及作品文件。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2.全国性会议、国家级学术论坛发表论文文章的，需说明会议时间、主办单位、会议规格等情况。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（四）荣誉方面：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荣誉等级认定上以颁发、授予单位的级别为准，以表彰文件、表彰证书、获奖证书、荣誉证书等用章单位作为认定依据。国家级指党中央、国务院授予或颁发的荣誉，省级指中央和国家机关部委及省（自治区、直辖市）党委、政府授予或颁发的荣誉，市级指省（自治区、直辖市）党委政府委办厅局及市党委、政府授予或颁发的荣誉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2.在校期间获得“国家奖学金”和“国家励志奖学金”的，无论获奖次数，只加3分。其他类型奖学金不计分。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3.学校授予的荣誉不计算得分。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二、岗位个性评价项目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不设定个性评价项目的，所有报名合格人员按20分计入总分。设定个性评价项目分值不足20分的，不足部分所有报名合格人员按得分计入总分。</w:t>
      </w:r>
    </w:p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idowControl/>
        <w:jc w:val="center"/>
        <w:rPr>
          <w:rFonts w:hint="default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巴林右旗</w:t>
      </w:r>
      <w:r>
        <w:rPr>
          <w:rFonts w:hint="eastAsia" w:ascii="华文中宋" w:hAnsi="华文中宋" w:eastAsia="华文中宋" w:cs="华文中宋"/>
          <w:sz w:val="36"/>
          <w:szCs w:val="36"/>
        </w:rPr>
        <w:t>“绿色通道”引进人才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岗位分类说明</w:t>
      </w:r>
    </w:p>
    <w:p>
      <w:pPr>
        <w:widowControl/>
        <w:ind w:firstLine="643" w:firstLineChars="200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widowControl/>
        <w:ind w:firstLine="643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一、旗委部门岗位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包含巴林右旗纪检监察工作保障中心、巴林右旗机构编制数据中心。</w:t>
      </w:r>
    </w:p>
    <w:p>
      <w:pPr>
        <w:widowControl/>
        <w:ind w:firstLine="643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二、旗政府部门岗位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包含巴林右旗工业和数字经济产业促进中心、巴林右旗民族团结进步促进中心、巴林右旗婚姻登记中心、巴林右旗公共财政保障中心、巴林右旗国土空间规划审查中心、巴林右旗城乡建设发展服务中心、巴林右旗德日苏宝冷水库管护中心、巴林右旗达林台草原灌区管护中心、巴林右旗军民团结灌区管护中心、巴林右旗草原水库管护中心、巴林右旗农牧技术推广中心  、巴林右旗动物疫病预防控制中心、巴林右旗农村牧区发展促进中心、巴林右旗博物馆、巴林右旗疾病预防控制中心、巴林右旗爱国卫生服务中心、巴林右旗防灾救灾中心、巴林右旗审计事务中心、巴林右旗产品质量检验检测所、巴林右旗统计调查中心、巴林右旗森林草原保护发展中心、巴林右旗巴彦尔灯治沙林场、巴林右旗白音沙那治沙林场、巴林右旗黄花治沙林场、巴林右旗巴林桥治沙林场、巴林右旗国有林业机耕林场、巴林右旗公共资源交易中心、巴林右旗医疗保险服务中心、巴林右旗产业园服务中心、巴林右旗罕山林场、巴林右旗机关事务服务中心。</w:t>
      </w:r>
    </w:p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填报示例：</w:t>
      </w:r>
    </w:p>
    <w:p>
      <w:pPr>
        <w:jc w:val="center"/>
        <w:rPr>
          <w:rFonts w:hint="eastAsia" w:ascii="楷体_GB2312" w:hAnsi="黑体" w:eastAsia="楷体_GB2312" w:cs="Times New Roman"/>
          <w:b w:val="0"/>
          <w:spacing w:val="-10"/>
          <w:kern w:val="0"/>
          <w:sz w:val="28"/>
          <w:szCs w:val="21"/>
        </w:rPr>
      </w:pPr>
      <w:r>
        <w:rPr>
          <w:rFonts w:hint="eastAsia" w:ascii="华文中宋" w:hAnsi="华文中宋" w:eastAsia="华文中宋" w:cs="华文中宋"/>
          <w:b w:val="0"/>
          <w:spacing w:val="-34"/>
          <w:sz w:val="32"/>
          <w:szCs w:val="32"/>
        </w:rPr>
        <w:t>巴林右旗</w:t>
      </w:r>
      <w:r>
        <w:rPr>
          <w:rFonts w:hint="eastAsia" w:ascii="华文中宋" w:hAnsi="华文中宋" w:eastAsia="华文中宋" w:cs="华文中宋"/>
          <w:b w:val="0"/>
          <w:spacing w:val="-34"/>
          <w:sz w:val="32"/>
          <w:szCs w:val="32"/>
          <w:lang w:eastAsia="zh-CN"/>
        </w:rPr>
        <w:t>202</w:t>
      </w:r>
      <w:r>
        <w:rPr>
          <w:rFonts w:hint="eastAsia" w:ascii="华文中宋" w:hAnsi="华文中宋" w:eastAsia="华文中宋" w:cs="华文中宋"/>
          <w:b w:val="0"/>
          <w:spacing w:val="-34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 w:val="0"/>
          <w:spacing w:val="-34"/>
          <w:sz w:val="32"/>
          <w:szCs w:val="32"/>
          <w:lang w:eastAsia="zh-CN"/>
        </w:rPr>
        <w:t>年</w:t>
      </w:r>
      <w:r>
        <w:rPr>
          <w:rFonts w:hint="eastAsia" w:ascii="华文中宋" w:hAnsi="华文中宋" w:eastAsia="华文中宋" w:cs="华文中宋"/>
          <w:b w:val="0"/>
          <w:spacing w:val="-34"/>
          <w:sz w:val="32"/>
          <w:szCs w:val="32"/>
        </w:rPr>
        <w:t>事业单位“绿色通道”引进急需紧缺人才</w:t>
      </w:r>
      <w:r>
        <w:rPr>
          <w:rFonts w:hint="eastAsia" w:ascii="华文中宋" w:hAnsi="华文中宋" w:eastAsia="华文中宋" w:cs="华文中宋"/>
          <w:b w:val="0"/>
          <w:spacing w:val="-34"/>
          <w:sz w:val="32"/>
          <w:szCs w:val="32"/>
          <w:lang w:val="en-US" w:eastAsia="zh-CN"/>
        </w:rPr>
        <w:t>自我</w:t>
      </w:r>
      <w:r>
        <w:rPr>
          <w:rFonts w:hint="eastAsia" w:ascii="华文中宋" w:hAnsi="华文中宋" w:eastAsia="华文中宋" w:cs="华文中宋"/>
          <w:b w:val="0"/>
          <w:spacing w:val="-34"/>
          <w:sz w:val="32"/>
          <w:szCs w:val="32"/>
        </w:rPr>
        <w:t>评价表</w:t>
      </w:r>
      <w:r>
        <w:rPr>
          <w:rFonts w:hint="eastAsia" w:ascii="楷体_GB2312" w:hAnsi="黑体" w:eastAsia="楷体_GB2312" w:cs="Times New Roman"/>
          <w:b w:val="0"/>
          <w:spacing w:val="-10"/>
          <w:kern w:val="0"/>
          <w:sz w:val="28"/>
          <w:szCs w:val="21"/>
        </w:rPr>
        <w:t xml:space="preserve">（     </w:t>
      </w:r>
      <w:r>
        <w:rPr>
          <w:rFonts w:hint="eastAsia" w:ascii="楷体_GB2312" w:hAnsi="黑体" w:eastAsia="楷体_GB2312"/>
          <w:b w:val="0"/>
          <w:sz w:val="28"/>
          <w:szCs w:val="21"/>
          <w:lang w:val="en-US" w:eastAsia="zh-CN"/>
        </w:rPr>
        <w:t>报考旗政府部门岗位</w:t>
      </w:r>
      <w:r>
        <w:rPr>
          <w:rFonts w:hint="eastAsia" w:ascii="楷体_GB2312" w:hAnsi="黑体" w:eastAsia="楷体_GB2312" w:cs="Times New Roman"/>
          <w:b w:val="0"/>
          <w:spacing w:val="-10"/>
          <w:kern w:val="0"/>
          <w:sz w:val="28"/>
          <w:szCs w:val="21"/>
        </w:rPr>
        <w:t xml:space="preserve">    ）</w:t>
      </w:r>
    </w:p>
    <w:p>
      <w:pPr>
        <w:rPr>
          <w:rFonts w:ascii="黑体" w:hAnsi="黑体" w:eastAsia="黑体"/>
          <w:b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 xml:space="preserve">报名人员姓名: </w:t>
      </w:r>
      <w:r>
        <w:rPr>
          <w:rFonts w:hint="eastAsia" w:ascii="楷体_GB2312" w:hAnsi="黑体" w:eastAsia="楷体_GB2312"/>
          <w:color w:val="FF0000"/>
          <w:sz w:val="28"/>
          <w:szCs w:val="28"/>
          <w:lang w:val="en-US" w:eastAsia="zh-CN"/>
        </w:rPr>
        <w:t>张某某</w:t>
      </w:r>
      <w:r>
        <w:rPr>
          <w:rFonts w:hint="eastAsia" w:ascii="黑体" w:hAnsi="黑体" w:eastAsia="黑体"/>
          <w:b w:val="0"/>
          <w:sz w:val="24"/>
          <w:szCs w:val="21"/>
          <w:lang w:val="en-US" w:eastAsia="zh-CN"/>
        </w:rPr>
        <w:t>招聘单位及</w:t>
      </w:r>
      <w:r>
        <w:rPr>
          <w:rFonts w:hint="eastAsia" w:ascii="黑体" w:hAnsi="黑体" w:eastAsia="黑体"/>
          <w:b w:val="0"/>
          <w:sz w:val="24"/>
          <w:szCs w:val="21"/>
        </w:rPr>
        <w:t>岗位</w:t>
      </w:r>
      <w:r>
        <w:rPr>
          <w:rFonts w:hint="eastAsia" w:ascii="黑体" w:hAnsi="黑体" w:eastAsia="黑体"/>
          <w:sz w:val="24"/>
          <w:szCs w:val="21"/>
        </w:rPr>
        <w:t xml:space="preserve">: </w:t>
      </w:r>
      <w:r>
        <w:rPr>
          <w:rFonts w:hint="eastAsia" w:ascii="楷体_GB2312" w:hAnsi="黑体" w:eastAsia="楷体_GB2312"/>
          <w:color w:val="FF0000"/>
          <w:sz w:val="18"/>
          <w:szCs w:val="18"/>
          <w:lang w:val="en-US" w:eastAsia="zh-CN"/>
        </w:rPr>
        <w:t>巴林右旗******</w:t>
      </w:r>
      <w:r>
        <w:rPr>
          <w:rFonts w:hint="eastAsia" w:ascii="楷体_GB2312" w:hAnsi="黑体" w:eastAsia="楷体_GB2312"/>
          <w:color w:val="FF0000"/>
          <w:sz w:val="18"/>
          <w:szCs w:val="18"/>
        </w:rPr>
        <w:t>中心</w:t>
      </w:r>
      <w:r>
        <w:rPr>
          <w:rFonts w:hint="eastAsia" w:ascii="楷体_GB2312" w:hAnsi="黑体" w:eastAsia="楷体_GB2312"/>
          <w:color w:val="FF0000"/>
          <w:sz w:val="18"/>
          <w:szCs w:val="18"/>
          <w:lang w:val="en-US" w:eastAsia="zh-CN"/>
        </w:rPr>
        <w:t>岗位1</w:t>
      </w:r>
      <w:r>
        <w:rPr>
          <w:rFonts w:hint="eastAsia" w:ascii="黑体" w:hAnsi="黑体" w:eastAsia="黑体"/>
          <w:sz w:val="18"/>
          <w:szCs w:val="18"/>
        </w:rPr>
        <w:t xml:space="preserve"> </w:t>
      </w:r>
      <w:r>
        <w:rPr>
          <w:rFonts w:hint="eastAsia" w:ascii="黑体" w:hAnsi="黑体" w:eastAsia="黑体"/>
          <w:sz w:val="24"/>
          <w:szCs w:val="21"/>
        </w:rPr>
        <w:t xml:space="preserve">自评得分:  </w:t>
      </w:r>
      <w:r>
        <w:rPr>
          <w:rFonts w:hint="eastAsia" w:ascii="黑体" w:hAnsi="黑体" w:eastAsia="黑体"/>
          <w:color w:val="FF0000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/>
          <w:color w:val="FF0000"/>
          <w:sz w:val="28"/>
          <w:szCs w:val="28"/>
        </w:rPr>
        <w:t>1</w:t>
      </w:r>
    </w:p>
    <w:tbl>
      <w:tblPr>
        <w:tblStyle w:val="5"/>
        <w:tblW w:w="89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08"/>
        <w:gridCol w:w="4536"/>
        <w:gridCol w:w="709"/>
        <w:gridCol w:w="1418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Cs w:val="24"/>
              </w:rPr>
              <w:t>评价类别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Cs w:val="24"/>
              </w:rPr>
              <w:t>评价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Cs w:val="24"/>
              </w:rPr>
              <w:t>项目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Cs w:val="24"/>
              </w:rPr>
              <w:t>赋分标准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Cs w:val="24"/>
              </w:rPr>
              <w:t>赋分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Cs w:val="24"/>
              </w:rPr>
              <w:t>总分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Cs w:val="24"/>
              </w:rPr>
              <w:t>自评得分项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Cs w:val="24"/>
              </w:rPr>
              <w:t>自评</w:t>
            </w:r>
          </w:p>
          <w:p>
            <w:pPr>
              <w:jc w:val="center"/>
              <w:rPr>
                <w:rFonts w:ascii="黑体" w:hAnsi="黑体" w:eastAsia="黑体" w:cs="宋体"/>
                <w:b/>
                <w:color w:val="000000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color w:val="000000"/>
                <w:sz w:val="24"/>
                <w:szCs w:val="24"/>
              </w:rPr>
              <w:t>公共评价项目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color w:val="000000"/>
                <w:sz w:val="24"/>
                <w:szCs w:val="24"/>
              </w:rPr>
              <w:t>专业层次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18"/>
                <w:szCs w:val="18"/>
              </w:rPr>
              <w:t>本  科</w:t>
            </w: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：一流大学且一流学科者得20分，一流大学非一流学科者得15分，非一流大学但一流学科者得15分，一流学科建设所在高校非一流专业者得</w:t>
            </w:r>
            <w:r>
              <w:rPr>
                <w:rFonts w:hint="eastAsia" w:cs="宋体"/>
                <w:color w:val="000000"/>
                <w:spacing w:val="-4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分，其他得</w:t>
            </w:r>
            <w:r>
              <w:rPr>
                <w:rFonts w:hint="eastAsia" w:cs="宋体"/>
                <w:color w:val="000000"/>
                <w:spacing w:val="-4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  <w:r>
              <w:rPr>
                <w:rFonts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eastAsia="楷体_GB2312" w:cs="宋体"/>
                <w:color w:val="FF0000"/>
                <w:szCs w:val="21"/>
              </w:rPr>
            </w:pPr>
            <w:r>
              <w:rPr>
                <w:rFonts w:hint="eastAsia" w:ascii="楷体_GB2312" w:eastAsia="楷体_GB2312" w:cs="宋体"/>
                <w:color w:val="FF0000"/>
                <w:szCs w:val="21"/>
              </w:rPr>
              <w:t>东北大学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_GB2312" w:eastAsia="楷体_GB2312" w:cs="宋体"/>
                <w:color w:val="FF0000"/>
                <w:szCs w:val="21"/>
              </w:rPr>
            </w:pPr>
            <w:r>
              <w:rPr>
                <w:rFonts w:hint="eastAsia" w:ascii="楷体_GB2312" w:eastAsia="楷体_GB2312" w:cs="宋体"/>
                <w:color w:val="FF0000"/>
                <w:szCs w:val="21"/>
              </w:rPr>
              <w:t>行政管理专业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color w:val="FF0000"/>
                <w:szCs w:val="21"/>
              </w:rPr>
            </w:pPr>
            <w:r>
              <w:rPr>
                <w:rFonts w:hint="eastAsia" w:cs="宋体"/>
                <w:b/>
                <w:color w:val="FF000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18"/>
                <w:szCs w:val="18"/>
              </w:rPr>
              <w:t>研究生</w:t>
            </w: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：</w:t>
            </w:r>
          </w:p>
          <w:p>
            <w:pPr>
              <w:widowControl/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国 内：一流大学且一流学科者得20分，一流大学非一流学科者得15分，非一流大学但一流学科者得15分，一流学科建设所在高校非一流专业者得</w:t>
            </w:r>
            <w:r>
              <w:rPr>
                <w:rFonts w:hint="eastAsia" w:cs="宋体"/>
                <w:color w:val="000000"/>
                <w:spacing w:val="-4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分，其他得</w:t>
            </w:r>
            <w:r>
              <w:rPr>
                <w:rFonts w:hint="eastAsia" w:cs="宋体"/>
                <w:color w:val="000000"/>
                <w:spacing w:val="-4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分。</w:t>
            </w:r>
          </w:p>
          <w:p>
            <w:pPr>
              <w:widowControl/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海 外：</w:t>
            </w:r>
          </w:p>
          <w:p>
            <w:pPr>
              <w:widowControl/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学校QS综合排名1-100名的，全额奖学金者得20分，半额奖学金者得15分，无奖学金者得10分；</w:t>
            </w:r>
          </w:p>
          <w:p>
            <w:pPr>
              <w:widowControl/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学校QS综合排名101-200名的，全额奖学金者得15分，半额奖学金者得10分，无奖学金者得5分；</w:t>
            </w:r>
          </w:p>
          <w:p>
            <w:pPr>
              <w:widowControl/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学校QS综合排名201-500名的，全额奖学金者得12分，半额奖学金者得6分，无奖学金者4分；</w:t>
            </w:r>
          </w:p>
          <w:p>
            <w:pPr>
              <w:widowControl/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学校QS综合排名501-1000名的,全额奖学金者得10分，半额奖学金者得5分，无奖学金者3分。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  <w:r>
              <w:rPr>
                <w:rFonts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eastAsia="楷体_GB2312" w:cs="宋体"/>
                <w:color w:val="FF0000"/>
                <w:szCs w:val="21"/>
              </w:rPr>
            </w:pPr>
            <w:r>
              <w:rPr>
                <w:rFonts w:hint="eastAsia" w:ascii="楷体_GB2312" w:eastAsia="楷体_GB2312" w:cs="宋体"/>
                <w:color w:val="FF0000"/>
                <w:szCs w:val="21"/>
              </w:rPr>
              <w:t>内蒙古大学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_GB2312" w:eastAsia="楷体_GB2312" w:cs="宋体"/>
                <w:color w:val="FF0000"/>
                <w:szCs w:val="21"/>
              </w:rPr>
            </w:pPr>
            <w:r>
              <w:rPr>
                <w:rFonts w:hint="eastAsia" w:ascii="楷体_GB2312" w:eastAsia="楷体_GB2312" w:cs="宋体"/>
                <w:color w:val="FF0000"/>
                <w:szCs w:val="21"/>
              </w:rPr>
              <w:t>法学专业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eastAsiaTheme="minorEastAsia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color w:val="FF000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color w:val="000000"/>
                <w:sz w:val="24"/>
                <w:szCs w:val="24"/>
              </w:rPr>
              <w:t>成绩业绩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研究生成绩：</w:t>
            </w:r>
          </w:p>
          <w:p>
            <w:pPr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GPA为4.0-3.7得</w:t>
            </w:r>
            <w:r>
              <w:rPr>
                <w:rFonts w:cs="宋体"/>
                <w:color w:val="000000"/>
                <w:spacing w:val="-4"/>
                <w:sz w:val="18"/>
                <w:szCs w:val="18"/>
              </w:rPr>
              <w:t>20</w:t>
            </w: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分，</w:t>
            </w:r>
          </w:p>
          <w:p>
            <w:pPr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GPA为3.6-2.7得</w:t>
            </w:r>
            <w:r>
              <w:rPr>
                <w:rFonts w:cs="宋体"/>
                <w:color w:val="000000"/>
                <w:spacing w:val="-4"/>
                <w:sz w:val="18"/>
                <w:szCs w:val="18"/>
              </w:rPr>
              <w:t>15</w:t>
            </w: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分，</w:t>
            </w:r>
          </w:p>
          <w:p>
            <w:pPr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GPA为2.6-1.7得</w:t>
            </w:r>
            <w:r>
              <w:rPr>
                <w:rFonts w:cs="宋体"/>
                <w:color w:val="000000"/>
                <w:spacing w:val="-4"/>
                <w:sz w:val="18"/>
                <w:szCs w:val="18"/>
              </w:rPr>
              <w:t>10</w:t>
            </w: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分，</w:t>
            </w:r>
          </w:p>
          <w:p>
            <w:pPr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GPA为1.6-1.0得5分。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  <w:r>
              <w:rPr>
                <w:rFonts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eastAsia="楷体_GB2312" w:cs="宋体"/>
                <w:color w:val="FF0000"/>
                <w:szCs w:val="21"/>
              </w:rPr>
            </w:pPr>
            <w:r>
              <w:rPr>
                <w:rFonts w:hint="eastAsia" w:ascii="楷体_GB2312" w:eastAsia="楷体_GB2312" w:cs="宋体"/>
                <w:color w:val="FF0000"/>
                <w:szCs w:val="21"/>
              </w:rPr>
              <w:t>GPA:3.2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color w:val="FF0000"/>
                <w:szCs w:val="21"/>
              </w:rPr>
            </w:pPr>
            <w:r>
              <w:rPr>
                <w:rFonts w:hint="eastAsia" w:cs="宋体"/>
                <w:b/>
                <w:color w:val="FF0000"/>
                <w:szCs w:val="21"/>
              </w:rPr>
              <w:t>15</w:t>
            </w:r>
          </w:p>
        </w:tc>
      </w:tr>
      <w:tr>
        <w:trPr>
          <w:trHeight w:val="1677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color w:val="000000"/>
                <w:sz w:val="24"/>
                <w:szCs w:val="24"/>
              </w:rPr>
              <w:t>研究成果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作为第一作者发表论文文章且被SCI收录者，每篇得5分；作为第一作者发表论文文章且被EI收录者，每篇得3分；作为第一作者在国内核心期刊、全国性会议、国家级学术论坛发表论文文章者，每篇得2分。</w:t>
            </w:r>
          </w:p>
          <w:p>
            <w:pPr>
              <w:widowControl/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同一篇文章按最高分计算，发表多篇的累加不超10分。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eastAsia="楷体_GB2312" w:cs="宋体"/>
                <w:color w:val="FF0000"/>
                <w:szCs w:val="21"/>
              </w:rPr>
            </w:pPr>
            <w:r>
              <w:rPr>
                <w:rFonts w:hint="eastAsia" w:ascii="楷体_GB2312" w:eastAsia="楷体_GB2312" w:cs="宋体"/>
                <w:color w:val="FF0000"/>
                <w:szCs w:val="21"/>
              </w:rPr>
              <w:t>在《中国人才》发表***文章1篇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color w:val="FF0000"/>
                <w:szCs w:val="21"/>
              </w:rPr>
            </w:pPr>
            <w:r>
              <w:rPr>
                <w:rFonts w:hint="eastAsia" w:cs="宋体"/>
                <w:b/>
                <w:color w:val="FF0000"/>
                <w:szCs w:val="21"/>
              </w:rPr>
              <w:t>2</w:t>
            </w:r>
          </w:p>
        </w:tc>
      </w:tr>
      <w:tr>
        <w:trPr>
          <w:trHeight w:val="1120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color w:val="000000"/>
                <w:sz w:val="24"/>
                <w:szCs w:val="24"/>
              </w:rPr>
              <w:t>荣誉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获得国家级荣誉者每项得5分；</w:t>
            </w:r>
          </w:p>
          <w:p>
            <w:pPr>
              <w:widowControl/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获得省级荣誉者每项得3分；</w:t>
            </w:r>
          </w:p>
          <w:p>
            <w:pPr>
              <w:widowControl/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获得市级荣誉者每项得1分。</w:t>
            </w:r>
          </w:p>
          <w:p>
            <w:pPr>
              <w:widowControl/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各项累加不超过10分。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1</w:t>
            </w:r>
            <w:r>
              <w:rPr>
                <w:rFonts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楷体_GB2312" w:eastAsia="楷体_GB2312" w:cs="宋体"/>
                <w:color w:val="FF0000"/>
                <w:szCs w:val="21"/>
              </w:rPr>
            </w:pPr>
            <w:r>
              <w:rPr>
                <w:rFonts w:hint="eastAsia" w:ascii="楷体_GB2312" w:eastAsia="楷体_GB2312" w:cs="宋体"/>
                <w:color w:val="FF0000"/>
                <w:szCs w:val="21"/>
              </w:rPr>
              <w:t>1.获得**市脱贫攻坚先进个人</w:t>
            </w:r>
          </w:p>
          <w:p>
            <w:pPr>
              <w:widowControl/>
              <w:spacing w:line="240" w:lineRule="exact"/>
              <w:rPr>
                <w:rFonts w:hint="eastAsia" w:ascii="楷体_GB2312" w:eastAsia="楷体_GB2312" w:cs="宋体"/>
                <w:color w:val="FF0000"/>
                <w:szCs w:val="21"/>
              </w:rPr>
            </w:pPr>
            <w:r>
              <w:rPr>
                <w:rFonts w:hint="eastAsia" w:ascii="楷体_GB2312" w:eastAsia="楷体_GB2312" w:cs="宋体"/>
                <w:color w:val="FF0000"/>
                <w:szCs w:val="21"/>
              </w:rPr>
              <w:t>2.2019年度国家奖学金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color w:val="FF0000"/>
                <w:szCs w:val="21"/>
              </w:rPr>
            </w:pPr>
            <w:r>
              <w:rPr>
                <w:rFonts w:hint="eastAsia" w:cs="宋体"/>
                <w:b/>
                <w:color w:val="FF0000"/>
                <w:szCs w:val="21"/>
              </w:rPr>
              <w:t>4</w:t>
            </w:r>
          </w:p>
        </w:tc>
      </w:tr>
      <w:tr>
        <w:trPr>
          <w:trHeight w:val="711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color w:val="000000"/>
                <w:sz w:val="24"/>
                <w:szCs w:val="24"/>
              </w:rPr>
              <w:t>岗位个性评价项目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.本科和研究生专业为同一学科类别的得</w:t>
            </w:r>
            <w:r>
              <w:rPr>
                <w:rFonts w:hint="eastAsia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分</w:t>
            </w:r>
            <w:r>
              <w:rPr>
                <w:rFonts w:hint="eastAsia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；</w:t>
            </w:r>
          </w:p>
          <w:p>
            <w:pPr>
              <w:widowControl/>
              <w:spacing w:line="240" w:lineRule="exact"/>
              <w:rPr>
                <w:rFonts w:cs="宋体"/>
                <w:color w:val="FF0000"/>
                <w:spacing w:val="-4"/>
                <w:sz w:val="18"/>
                <w:szCs w:val="18"/>
              </w:rPr>
            </w:pPr>
            <w:r>
              <w:rPr>
                <w:rFonts w:hint="eastAsia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cs="宋体"/>
                <w:b w:val="0"/>
                <w:spacing w:val="-4"/>
                <w:sz w:val="21"/>
                <w:szCs w:val="21"/>
              </w:rPr>
              <w:t>所有报名合格人员得</w:t>
            </w:r>
            <w:r>
              <w:rPr>
                <w:rFonts w:hint="eastAsia" w:cs="宋体"/>
                <w:b w:val="0"/>
                <w:spacing w:val="-4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cs="宋体"/>
                <w:b w:val="0"/>
                <w:spacing w:val="-4"/>
                <w:sz w:val="21"/>
                <w:szCs w:val="21"/>
              </w:rPr>
              <w:t>分</w:t>
            </w:r>
            <w:r>
              <w:rPr>
                <w:rFonts w:hint="eastAsia" w:cs="宋体"/>
                <w:b w:val="0"/>
                <w:spacing w:val="-4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eastAsiaTheme="minorEastAsia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 w:cs="宋体"/>
                <w:color w:val="FF0000"/>
                <w:szCs w:val="21"/>
              </w:rPr>
            </w:pPr>
            <w:r>
              <w:rPr>
                <w:rFonts w:hint="eastAsia" w:ascii="楷体_GB2312" w:eastAsia="楷体_GB2312" w:cs="宋体"/>
                <w:color w:val="FF0000"/>
                <w:szCs w:val="21"/>
              </w:rPr>
              <w:t>本科专业法学、研究生专业行政法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cs="宋体" w:eastAsiaTheme="minorEastAsia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color w:val="FF0000"/>
                <w:szCs w:val="21"/>
                <w:lang w:val="en-US" w:eastAsia="zh-CN"/>
              </w:rPr>
              <w:t>15</w:t>
            </w:r>
          </w:p>
        </w:tc>
      </w:tr>
    </w:tbl>
    <w:p>
      <w:pPr>
        <w:jc w:val="both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特殊人才: 1. 作为第一作者文章被</w:t>
      </w:r>
      <w:r>
        <w:rPr>
          <w:rFonts w:ascii="仿宋_GB2312" w:eastAsia="仿宋_GB2312"/>
          <w:szCs w:val="21"/>
        </w:rPr>
        <w:t>SCI收录</w:t>
      </w:r>
      <w:r>
        <w:rPr>
          <w:rFonts w:hint="eastAsia" w:ascii="仿宋_GB2312" w:eastAsia="仿宋_GB2312"/>
          <w:szCs w:val="21"/>
        </w:rPr>
        <w:t>超过5篇（含）者，人才评价按满分计算（100分）。</w:t>
      </w:r>
    </w:p>
    <w:p>
      <w:pPr>
        <w:numPr>
          <w:ilvl w:val="0"/>
          <w:numId w:val="1"/>
        </w:numPr>
        <w:ind w:firstLine="1050" w:firstLineChars="5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获得国家级荣誉3项（含）以上者，人才评价按满分计算（100分）。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本人签字：</w:t>
      </w:r>
      <w:r>
        <w:rPr>
          <w:rFonts w:hint="eastAsia" w:ascii="仿宋_GB2312" w:eastAsia="仿宋_GB2312"/>
          <w:b w:val="0"/>
          <w:bCs w:val="0"/>
          <w:color w:val="4F81BD" w:themeColor="accent1"/>
          <w:sz w:val="24"/>
          <w:szCs w:val="24"/>
          <w:lang w:val="en-US" w:eastAsia="zh-CN"/>
          <w14:textFill>
            <w14:solidFill>
              <w14:schemeClr w14:val="accent1"/>
            </w14:solidFill>
          </w14:textFill>
        </w:rPr>
        <w:t>赵某某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 xml:space="preserve"> 身份证号：</w:t>
      </w:r>
      <w:r>
        <w:rPr>
          <w:rFonts w:hint="eastAsia" w:ascii="仿宋_GB2312" w:eastAsia="仿宋_GB2312"/>
          <w:b w:val="0"/>
          <w:bCs w:val="0"/>
          <w:color w:val="4F81BD" w:themeColor="accent1"/>
          <w:sz w:val="24"/>
          <w:szCs w:val="24"/>
          <w:lang w:val="en-US" w:eastAsia="zh-CN"/>
          <w14:textFill>
            <w14:solidFill>
              <w14:schemeClr w14:val="accent1"/>
            </w14:solidFill>
          </w14:textFill>
        </w:rPr>
        <w:t>150423****0102****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 xml:space="preserve"> 联系电话：</w:t>
      </w:r>
      <w:r>
        <w:rPr>
          <w:rFonts w:hint="eastAsia" w:ascii="仿宋_GB2312" w:eastAsia="仿宋_GB2312"/>
          <w:b w:val="0"/>
          <w:bCs w:val="0"/>
          <w:color w:val="4F81BD" w:themeColor="accent1"/>
          <w:sz w:val="24"/>
          <w:szCs w:val="24"/>
          <w:lang w:val="en-US" w:eastAsia="zh-CN"/>
          <w14:textFill>
            <w14:solidFill>
              <w14:schemeClr w14:val="accent1"/>
            </w14:solidFill>
          </w14:textFill>
        </w:rPr>
        <w:t>139****1234</w:t>
      </w:r>
      <w:bookmarkStart w:id="0" w:name="_GoBack"/>
      <w:bookmarkEnd w:id="0"/>
      <w:r>
        <w:rPr>
          <w:rFonts w:ascii="仿宋_GB2312" w:hAnsi="黑体" w:eastAsia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0"/>
          <w:szCs w:val="40"/>
          <w:lang w:val="en-US" w:eastAsia="zh-CN" w:bidi="ar"/>
        </w:rPr>
        <w:t>第二轮“双一流”建设高校及建设学科名单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ascii="楷体_GB2312" w:hAnsi="宋体" w:eastAsia="楷体_GB2312" w:cs="楷体_GB2312"/>
          <w:color w:val="000000"/>
          <w:kern w:val="0"/>
          <w:sz w:val="29"/>
          <w:szCs w:val="29"/>
          <w:lang w:val="en-US" w:eastAsia="zh-CN" w:bidi="ar"/>
        </w:rPr>
        <w:t>（按学校代码排序）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（自主确定建设学科并自行公布）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中国人民大学：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哲学、理论经济学、应用经济学、法学、政治学、 社会学、马克思主义理论、新闻传播学、中国史、统计学、工商管理、农林经济管理、公共管理、图书情报与档案管理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清华大学：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（自主确定建设学科并自行公布）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系统科学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北京航空航天大学：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力学、仪器科学与技术、材料科学与工程、控制科学与工程、计算机科学与技术、交通运输工程、航空宇航科学与技术、软件工程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物理学、材料科学与工程、控制科学与工程、兵器科学与技术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科学技术史、材料科学与工程、冶金工程、矿业工程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北京化工大学：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北京邮电大学：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信息与通信工程、计算机科学与技术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生物学、农业工程、食品科学与工程、作物学、农业资源与环境、植物保护、畜牧学、兽医学、草学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北京林业大学：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风景园林学、林学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北京协和医学院：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生物学、生物医学工程、临床医学、公共卫生与预防医学、药学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中医学、中西医结合、中药学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哲学、教育学、心理学、中国语言文学、外国语 言文学、中国史、数学、地理学、系统科学、生态学、环境科学与工程、戏剧与影视学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首都师范大学：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北京外国语大学：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中国传媒大学：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新闻传播学、戏剧与影视学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中央财经大学：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对外经济贸易大学：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外交学院：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政治学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中国人民公安大学：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公安学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北京体育大学：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体育学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中央音乐学院：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中国音乐学院：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中央美术学院：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美术学、设计学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中央戏剧学院：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中央民族大学：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民族学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中国政法大学：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法学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应用经济学、世界史、数学、化学、统计学、材料科学与工程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化学、材料科学与工程、动力工程及工程热物理、化学工程与技术、管理科学与工程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纺织科学与工程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天津医科大学：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华北电力大学：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河北工业大学：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山西大学：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哲学、物理学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太原理工大学：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内蒙古大学：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辽宁大学：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大连理工大学：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力学、机械工程、化学工程与技术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冶金工程、控制科学与工程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大连海事大学：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吉林大学：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考古学、数学、物理学、化学、生物学、材料科学与工程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延边大学：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马克思主义理论、教育学、世界史、化学、统计学、材料科学与工程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哈尔滨工业大学：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力学、机械工程、材料科学与工程、控制科学与工程、计算机科学与技术、土木工程、航空宇航科学与技术、环境科学与工程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哈尔滨工程大学：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船舶与海洋工程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畜牧学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东北林业大学：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林业工程、林学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复旦大学：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同济大学：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生物学、建筑学、土木工程、测绘科学与技术、环境科学与工程、城乡规划学、风景园林学、设计学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华东理工大学：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东华大学：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材料科学与工程、纺织科学与工程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上海海洋大学：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水产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中医学、中药学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华东师范大学：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教育学、生态学、统计学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上海外国语大学：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上海财经大学：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上海体育学院：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体育学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上海音乐学院：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哲学、理论经济学、中国语言文学、外国语言文学、物理学、化学、天文学、大气科学、地质学、生物学、材料科学与工程、计算机科学与技术、化学工程与技术、矿业工程、环境科学与工 程、图书情报与档案管理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苏州大学：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机械工程、材料科学与工程、电子科学与技术、信息与通信工程、控制科学与工程、计算机科学与技术、建筑学、土木工程、交通运输工程、生物医学工程、风景园林学、艺术学理论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南京航空航天大学：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力学、控制科学与工程、航空宇航科学与技术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兵器科学与技术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中国矿业大学：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矿业工程、安全科学与工程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南京邮电大学：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电子科学与技术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河海大学：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水利工程、环境科学与工程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江南大学：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轻工技术与工程、食品科学与工程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南京林业大学：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林业工程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南京信息工程大学：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大气科学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作物学、农业资源与环境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南京医科大学：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公共卫生与预防医学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中国药科大学：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浙江大学：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 程、农林经济管理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中国美术学院：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美术学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安徽大学：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中国科学技术大学：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数学、物理学、化学、天文学、地球物理学、生物学、科学技术史、材料科学与工程、计算机科学与技术、核科学与技术、安全科学与工程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合肥工业大学：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厦门大学：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教育学、化学、海洋科学、生物学、生态学、统计学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福州大学：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南昌大学：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山东大学：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中国语言文学、数学、化学、临床医学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中国海洋大学：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海洋科学、水产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中国石油大学（华东）：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地质资源与地质工程、石油与天然气工程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郑州大学：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河南大学：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武汉大学：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理论经济学、法学、马克思主义理论、化学、地球物理学、生物学、土木工程、水利工程、测绘科学与技术、口腔医学、图书情报与档案管理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华中科技大学：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机械工程、光学工程、材料科学与工程、动力工程及工程热物理、电气工程、计算机科学与技术、基础医学、临床医 学、公共卫生与预防医学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中国地质大学（武汉）：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地质学、地质资源与地质工程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武汉理工大学：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华中农业大学：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生物学、园艺学、畜牧学、兽医学、农林经济管理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华中师范大学：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政治学、教育学、中国语言文学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中南财经政法大学：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法学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湘潭大学：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湖南大学：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化学、机械工程、电气工程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数学、材料科学与工程、冶金工程、矿业工程、交通运输工程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湖南师范大学：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中山大学：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哲学、数学、化学、生物学、生态学、材料科学与工程、电子科学与技术、基础医学、临床医学、药学、工商管理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暨南大学：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华南理工大学：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化学、材料科学与工程、轻工技术与工程、食品科学与工程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华南农业大学：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广州医科大学：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广州中医药大学：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华南师范大学：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物理学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海南大学：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广西大学：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四川大学：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数学、化学、材料科学与工程、基础医学、口腔医学、护理学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重庆大学：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机械工程、电气工程、土木工程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电子科技大学：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电子科学与技术、信息与通信工程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西南石油大学：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成都理工大学：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四川农业大学：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成都中医药大学：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教育学、生物学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西南财经大学：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贵州大学：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植物保护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云南大学：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民族学、生态学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考古学、地质学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西安交通大学：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力学、机械工程、材料科学与工程、动力工程及工程热物理、电气工程、控制科学与工程、管理科学与工程、工商管理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西北工业大学：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机械工程、材料科学与工程、航空宇航科学与技术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西安电子科技大学：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信息与通信工程、计算机科学与技术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长安大学：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西北农林科技大学：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植物保护、畜牧学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陕西师范大学：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中国语言文学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兰州大学：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化学、大气科学、生态学、草学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青海大学：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宁夏大学：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新疆大学：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马克思主义理论、化学、计算机科学与技术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石河子大学：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中国矿业大学（北京）：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矿业工程、安全科学与工程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中国石油大学（北京）：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地质资源与地质工程、石油与天然气工程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中国地质大学（北京）：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地质学、地质资源与地质工程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宁波大学：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南方科技大学：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中国科学院大学：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国防科技大学：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信息与通信工程、计算机科学与技术、航空宇航科学与技术、软件工程、管理科学与工程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海军军医大学：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基础医学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空军军医大学：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临床医学</w:t>
      </w:r>
    </w:p>
    <w:sectPr>
      <w:pgSz w:w="11906" w:h="16838"/>
      <w:pgMar w:top="1440" w:right="1800" w:bottom="1118" w:left="1800" w:header="851" w:footer="992" w:gutter="0"/>
      <w:pgNumType w:fmt="decimal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FangSong-Z02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54F597"/>
    <w:multiLevelType w:val="singleLevel"/>
    <w:tmpl w:val="D354F59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0OTYzYjk4YmUxODgxZmU3YWVmMjViMDYyNzI3MzUifQ=="/>
  </w:docVars>
  <w:rsids>
    <w:rsidRoot w:val="00BF39F8"/>
    <w:rsid w:val="00003412"/>
    <w:rsid w:val="000141F8"/>
    <w:rsid w:val="000B0F0A"/>
    <w:rsid w:val="000B7CD2"/>
    <w:rsid w:val="00215C73"/>
    <w:rsid w:val="00222188"/>
    <w:rsid w:val="0024420F"/>
    <w:rsid w:val="00246C17"/>
    <w:rsid w:val="00257BEF"/>
    <w:rsid w:val="0033070E"/>
    <w:rsid w:val="00411F1B"/>
    <w:rsid w:val="004701D7"/>
    <w:rsid w:val="00481615"/>
    <w:rsid w:val="004C38EE"/>
    <w:rsid w:val="005B0CC2"/>
    <w:rsid w:val="006E5E26"/>
    <w:rsid w:val="00714773"/>
    <w:rsid w:val="00814737"/>
    <w:rsid w:val="00825262"/>
    <w:rsid w:val="008373E4"/>
    <w:rsid w:val="00907D48"/>
    <w:rsid w:val="009A6067"/>
    <w:rsid w:val="00A175BC"/>
    <w:rsid w:val="00A3733F"/>
    <w:rsid w:val="00A662B8"/>
    <w:rsid w:val="00AB10E5"/>
    <w:rsid w:val="00AE4153"/>
    <w:rsid w:val="00B128ED"/>
    <w:rsid w:val="00B210ED"/>
    <w:rsid w:val="00B333E6"/>
    <w:rsid w:val="00B369F3"/>
    <w:rsid w:val="00BD37FD"/>
    <w:rsid w:val="00BF39F8"/>
    <w:rsid w:val="00C63BE0"/>
    <w:rsid w:val="00C84EBE"/>
    <w:rsid w:val="00D33B7F"/>
    <w:rsid w:val="00DF74F9"/>
    <w:rsid w:val="00E7362A"/>
    <w:rsid w:val="00E9095B"/>
    <w:rsid w:val="00E93FBC"/>
    <w:rsid w:val="00F14B75"/>
    <w:rsid w:val="00F96762"/>
    <w:rsid w:val="00FB6264"/>
    <w:rsid w:val="00FB7E46"/>
    <w:rsid w:val="00FE7DE1"/>
    <w:rsid w:val="00FF00C7"/>
    <w:rsid w:val="00FF4782"/>
    <w:rsid w:val="04976F85"/>
    <w:rsid w:val="05642E12"/>
    <w:rsid w:val="09E60B1F"/>
    <w:rsid w:val="105A2FDC"/>
    <w:rsid w:val="117E56F8"/>
    <w:rsid w:val="16242100"/>
    <w:rsid w:val="21284284"/>
    <w:rsid w:val="214F17D3"/>
    <w:rsid w:val="278C412B"/>
    <w:rsid w:val="27FA496E"/>
    <w:rsid w:val="375831C9"/>
    <w:rsid w:val="3C075B35"/>
    <w:rsid w:val="3D872C69"/>
    <w:rsid w:val="3E6076F3"/>
    <w:rsid w:val="439022FA"/>
    <w:rsid w:val="45F377CB"/>
    <w:rsid w:val="465C2323"/>
    <w:rsid w:val="469F4AEF"/>
    <w:rsid w:val="481E6F7A"/>
    <w:rsid w:val="4DFF0670"/>
    <w:rsid w:val="54900704"/>
    <w:rsid w:val="586D7D3E"/>
    <w:rsid w:val="62B66254"/>
    <w:rsid w:val="63057A83"/>
    <w:rsid w:val="63F04C18"/>
    <w:rsid w:val="64783774"/>
    <w:rsid w:val="6504149D"/>
    <w:rsid w:val="654A51C8"/>
    <w:rsid w:val="6A3541F7"/>
    <w:rsid w:val="76FE71EA"/>
    <w:rsid w:val="7D04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赤峰市人力资源和社会保障局</Company>
  <Pages>15</Pages>
  <Words>1008</Words>
  <Characters>5750</Characters>
  <Lines>47</Lines>
  <Paragraphs>13</Paragraphs>
  <TotalTime>0</TotalTime>
  <ScaleCrop>false</ScaleCrop>
  <LinksUpToDate>false</LinksUpToDate>
  <CharactersWithSpaces>6745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2021-10-18T07:16:00Z</dcterms:created>
  <dc:creator>郭鲁蒙</dc:creator>
  <cp:lastModifiedBy>李国华</cp:lastModifiedBy>
  <cp:lastPrinted>2023-08-04T00:31:00Z</cp:lastPrinted>
  <dcterms:modified xsi:type="dcterms:W3CDTF">2023-08-04T03:08:58Z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285291EC6B8C49AFBD46746CC492311A</vt:lpwstr>
  </property>
</Properties>
</file>