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  <w:lang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</w:rPr>
        <w:t>张湾区</w:t>
      </w:r>
      <w:r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  <w:lang w:eastAsia="zh-CN"/>
        </w:rPr>
        <w:t>引进</w:t>
      </w:r>
      <w:r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</w:rPr>
        <w:t>高层次和急需紧缺人才</w:t>
      </w:r>
      <w:r>
        <w:rPr>
          <w:rFonts w:hint="eastAsia" w:ascii="微软简标宋" w:hAnsi="微软简标宋" w:eastAsia="微软简标宋" w:cs="微软简标宋"/>
          <w:bCs/>
          <w:color w:val="auto"/>
          <w:spacing w:val="0"/>
          <w:sz w:val="36"/>
          <w:szCs w:val="36"/>
          <w:lang w:eastAsia="zh-CN"/>
        </w:rPr>
        <w:t>岗位及条件一览表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ascii="Times New Roman" w:hAnsi="Times New Roman" w:eastAsia="Arial Unicode MS"/>
          <w:bCs/>
          <w:color w:val="auto"/>
          <w:sz w:val="44"/>
          <w:szCs w:val="44"/>
        </w:rPr>
      </w:pPr>
    </w:p>
    <w:tbl>
      <w:tblPr>
        <w:tblStyle w:val="5"/>
        <w:tblW w:w="499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910"/>
        <w:gridCol w:w="2133"/>
        <w:gridCol w:w="2001"/>
        <w:gridCol w:w="4343"/>
        <w:gridCol w:w="1026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序号</w:t>
            </w:r>
          </w:p>
        </w:tc>
        <w:tc>
          <w:tcPr>
            <w:tcW w:w="7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单位名称</w:t>
            </w:r>
          </w:p>
        </w:tc>
        <w:tc>
          <w:tcPr>
            <w:tcW w:w="8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岗位名称</w:t>
            </w:r>
          </w:p>
        </w:tc>
        <w:tc>
          <w:tcPr>
            <w:tcW w:w="7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学</w:t>
            </w: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历</w:t>
            </w:r>
          </w:p>
        </w:tc>
        <w:tc>
          <w:tcPr>
            <w:tcW w:w="1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专  业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/>
                <w:color w:val="auto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shd w:val="clear" w:color="auto" w:fill="auto"/>
                <w:lang w:eastAsia="zh-CN"/>
              </w:rPr>
              <w:t>引进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shd w:val="clear" w:color="auto" w:fill="auto"/>
              </w:rPr>
              <w:t>人数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黑体"/>
                <w:color w:val="auto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3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  <w:t>张湾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区棚户区改造服务中心</w:t>
            </w:r>
          </w:p>
        </w:tc>
        <w:tc>
          <w:tcPr>
            <w:tcW w:w="8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工程管理综合岗</w:t>
            </w:r>
          </w:p>
        </w:tc>
        <w:tc>
          <w:tcPr>
            <w:tcW w:w="7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全日制硕士研究生</w:t>
            </w:r>
          </w:p>
        </w:tc>
        <w:tc>
          <w:tcPr>
            <w:tcW w:w="1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工程管理及相关专业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8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工程造价综合岗</w:t>
            </w:r>
          </w:p>
        </w:tc>
        <w:tc>
          <w:tcPr>
            <w:tcW w:w="7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全日制硕士研究生</w:t>
            </w:r>
          </w:p>
        </w:tc>
        <w:tc>
          <w:tcPr>
            <w:tcW w:w="1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工程造价、工程审计及相关专业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9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73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张湾区财政投资评审中心</w:t>
            </w:r>
          </w:p>
        </w:tc>
        <w:tc>
          <w:tcPr>
            <w:tcW w:w="8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投融资管理综合岗</w:t>
            </w:r>
          </w:p>
        </w:tc>
        <w:tc>
          <w:tcPr>
            <w:tcW w:w="7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全日制硕士研究生</w:t>
            </w:r>
          </w:p>
        </w:tc>
        <w:tc>
          <w:tcPr>
            <w:tcW w:w="1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财务金融类相关专业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9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73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8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预算管理综合岗</w:t>
            </w:r>
          </w:p>
        </w:tc>
        <w:tc>
          <w:tcPr>
            <w:tcW w:w="7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</w:rPr>
              <w:t>全日制硕士研究生</w:t>
            </w:r>
          </w:p>
        </w:tc>
        <w:tc>
          <w:tcPr>
            <w:tcW w:w="16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数理统计及相关专业</w:t>
            </w:r>
          </w:p>
        </w:tc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shd w:val="clear" w:color="auto" w:fill="auto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531" w:right="2211" w:bottom="1531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Nzg5ZmU1YjUzYjQ3ZTAxYzFkN2ZhM2QyOTUzMGIifQ=="/>
  </w:docVars>
  <w:rsids>
    <w:rsidRoot w:val="25DF7BF4"/>
    <w:rsid w:val="25D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2023-06-20T08:26:00Z</dcterms:created>
  <dc:creator>梁蔚</dc:creator>
  <cp:lastModifiedBy>梁蔚</cp:lastModifiedBy>
  <dcterms:modified xsi:type="dcterms:W3CDTF">2023-06-20T08:27:40Z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8107A213020C4C85B916263F2A3E4FCB_11</vt:lpwstr>
  </property>
</Properties>
</file>