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lang w:eastAsia="zh-CN"/>
        </w:rPr>
      </w:pPr>
      <w:bookmarkStart w:id="0" w:name="_Toc6286_WPSOffice_Level1"/>
      <w:r>
        <w:rPr>
          <w:rFonts w:hint="eastAsia" w:ascii="宋体" w:hAnsi="宋体" w:cs="宋体"/>
          <w:b/>
          <w:color w:val="auto"/>
          <w:w w:val="85"/>
          <w:kern w:val="0"/>
          <w:sz w:val="44"/>
          <w:szCs w:val="44"/>
          <w:highlight w:val="none"/>
          <w:lang w:eastAsia="zh-CN"/>
        </w:rPr>
        <w:t>厦门港口管理局所属事业单位</w:t>
      </w:r>
    </w:p>
    <w:p>
      <w:pPr>
        <w:adjustRightInd w:val="0"/>
        <w:snapToGrid w:val="0"/>
        <w:spacing w:line="640" w:lineRule="exact"/>
        <w:jc w:val="center"/>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厦门港引航站补充编内工作人员</w:t>
      </w: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adjustRightInd w:val="0"/>
        <w:snapToGrid w:val="0"/>
        <w:spacing w:line="640" w:lineRule="exact"/>
        <w:jc w:val="center"/>
        <w:rPr>
          <w:rFonts w:hint="default" w:ascii="宋体" w:hAnsi="宋体" w:cs="宋体"/>
          <w:b/>
          <w:color w:val="auto"/>
          <w:w w:val="85"/>
          <w:kern w:val="0"/>
          <w:sz w:val="44"/>
          <w:szCs w:val="44"/>
          <w:highlight w:val="none"/>
          <w:lang w:val="en-US" w:eastAsia="zh-CN"/>
        </w:rPr>
      </w:pPr>
      <w:r>
        <w:rPr>
          <w:rFonts w:hint="eastAsia" w:ascii="宋体" w:hAnsi="宋体" w:cs="宋体"/>
          <w:b/>
          <w:color w:val="auto"/>
          <w:w w:val="85"/>
          <w:kern w:val="0"/>
          <w:sz w:val="44"/>
          <w:szCs w:val="44"/>
          <w:highlight w:val="none"/>
          <w:lang w:val="en-US" w:eastAsia="zh-CN"/>
        </w:rPr>
        <w:t>（2023年2月）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highlight w:val="none"/>
            </w:rPr>
            <w:fldChar w:fldCharType="begin" w:fldLock="1"/>
          </w:r>
          <w:r>
            <w:rPr>
              <w:color w:val="auto"/>
              <w:highlight w:val="none"/>
            </w:rPr>
            <w:instrText xml:space="preserve">TOC \o "1-3" \h \u </w:instrText>
          </w:r>
          <w:r>
            <w:rPr>
              <w:color w:val="auto"/>
              <w:highlight w:val="none"/>
            </w:rPr>
            <w:fldChar w:fldCharType="separate"/>
          </w:r>
          <w:r>
            <w:rPr>
              <w:color w:val="auto"/>
              <w:sz w:val="24"/>
              <w:szCs w:val="24"/>
              <w:highlight w:val="none"/>
            </w:rPr>
            <w:fldChar w:fldCharType="begin" w:fldLock="1"/>
          </w:r>
          <w:r>
            <w:rPr>
              <w:color w:val="auto"/>
              <w:sz w:val="24"/>
              <w:szCs w:val="24"/>
              <w:highlight w:val="none"/>
            </w:rPr>
            <w:instrText xml:space="preserve"> HYPERLINK \l _Toc12367 </w:instrText>
          </w:r>
          <w:r>
            <w:rPr>
              <w:color w:val="auto"/>
              <w:sz w:val="24"/>
              <w:szCs w:val="24"/>
              <w:highlight w:val="none"/>
            </w:rPr>
            <w:fldChar w:fldCharType="separate"/>
          </w:r>
          <w:r>
            <w:rPr>
              <w:rFonts w:hint="eastAsia" w:ascii="黑体" w:hAnsi="黑体" w:eastAsia="黑体"/>
              <w:bCs/>
              <w:color w:val="auto"/>
              <w:sz w:val="24"/>
              <w:szCs w:val="24"/>
              <w:highlight w:val="none"/>
            </w:rPr>
            <w:t>一、 基本条件</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_Toc12367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_Toc30803 </w:instrText>
          </w:r>
          <w:r>
            <w:rPr>
              <w:color w:val="auto"/>
              <w:sz w:val="24"/>
              <w:szCs w:val="24"/>
              <w:highlight w:val="none"/>
            </w:rPr>
            <w:fldChar w:fldCharType="separate"/>
          </w:r>
          <w:r>
            <w:rPr>
              <w:rFonts w:hint="eastAsia" w:ascii="黑体" w:hAnsi="黑体" w:eastAsia="黑体"/>
              <w:bCs/>
              <w:color w:val="auto"/>
              <w:sz w:val="24"/>
              <w:szCs w:val="24"/>
              <w:highlight w:val="none"/>
            </w:rPr>
            <w:t>二、 不得报考或取消报考（聘用）资格的情形</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_Toc30803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_Toc30705 </w:instrText>
          </w:r>
          <w:r>
            <w:rPr>
              <w:color w:val="auto"/>
              <w:sz w:val="24"/>
              <w:szCs w:val="24"/>
              <w:highlight w:val="none"/>
            </w:rPr>
            <w:fldChar w:fldCharType="separate"/>
          </w:r>
          <w:r>
            <w:rPr>
              <w:rFonts w:hint="eastAsia" w:ascii="黑体" w:hAnsi="黑体" w:eastAsia="黑体"/>
              <w:bCs/>
              <w:color w:val="auto"/>
              <w:sz w:val="24"/>
              <w:szCs w:val="24"/>
              <w:highlight w:val="none"/>
            </w:rPr>
            <w:t xml:space="preserve">三、 </w:t>
          </w:r>
          <w:r>
            <w:rPr>
              <w:rFonts w:hint="eastAsia" w:ascii="黑体" w:hAnsi="黑体" w:eastAsia="黑体"/>
              <w:bCs/>
              <w:color w:val="auto"/>
              <w:sz w:val="24"/>
              <w:szCs w:val="24"/>
              <w:highlight w:val="none"/>
              <w:lang w:eastAsia="zh-CN"/>
            </w:rPr>
            <w:t>选报岗位</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_Toc30705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_Toc26059 </w:instrText>
          </w:r>
          <w:r>
            <w:rPr>
              <w:color w:val="auto"/>
              <w:sz w:val="24"/>
              <w:szCs w:val="24"/>
              <w:highlight w:val="none"/>
            </w:rPr>
            <w:fldChar w:fldCharType="separate"/>
          </w:r>
          <w:r>
            <w:rPr>
              <w:rFonts w:hint="eastAsia" w:ascii="楷体" w:hAnsi="楷体" w:eastAsia="楷体"/>
              <w:color w:val="auto"/>
              <w:sz w:val="24"/>
              <w:szCs w:val="24"/>
              <w:highlight w:val="none"/>
            </w:rPr>
            <w:t>（一）</w:t>
          </w:r>
          <w:r>
            <w:rPr>
              <w:rFonts w:hint="eastAsia" w:ascii="楷体" w:hAnsi="楷体" w:eastAsia="楷体"/>
              <w:color w:val="auto"/>
              <w:sz w:val="24"/>
              <w:szCs w:val="24"/>
              <w:highlight w:val="none"/>
              <w:lang w:eastAsia="zh-CN"/>
            </w:rPr>
            <w:t>报考</w:t>
          </w:r>
          <w:r>
            <w:rPr>
              <w:rFonts w:hint="eastAsia" w:ascii="楷体" w:hAnsi="楷体" w:eastAsia="楷体"/>
              <w:color w:val="auto"/>
              <w:sz w:val="24"/>
              <w:szCs w:val="24"/>
              <w:highlight w:val="none"/>
            </w:rPr>
            <w:t>条件确认</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_Toc26059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_Toc15120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报考方式</w:t>
          </w:r>
          <w:r>
            <w:rPr>
              <w:color w:val="auto"/>
              <w:sz w:val="24"/>
              <w:szCs w:val="24"/>
              <w:highlight w:val="none"/>
            </w:rPr>
            <w:tab/>
          </w:r>
          <w:r>
            <w:rPr>
              <w:rFonts w:hint="eastAsia"/>
              <w:color w:val="auto"/>
              <w:sz w:val="24"/>
              <w:szCs w:val="24"/>
              <w:highlight w:val="none"/>
              <w:lang w:val="en-US" w:eastAsia="zh-CN"/>
            </w:rPr>
            <w:t>2</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ind w:left="0" w:leftChars="0" w:firstLine="480" w:firstLineChars="200"/>
            <w:textAlignment w:val="auto"/>
            <w:rPr>
              <w:color w:val="auto"/>
              <w:sz w:val="24"/>
              <w:szCs w:val="24"/>
              <w:highlight w:val="none"/>
            </w:rPr>
          </w:pPr>
          <w:r>
            <w:rPr>
              <w:rFonts w:hint="eastAsia" w:ascii="楷体" w:hAnsi="楷体" w:eastAsia="楷体"/>
              <w:color w:val="auto"/>
              <w:sz w:val="24"/>
              <w:szCs w:val="24"/>
              <w:highlight w:val="none"/>
              <w:lang w:val="en-US" w:eastAsia="zh-CN"/>
            </w:rPr>
            <w:t>(三) 报名材料</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_Toc15120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_Toc28663 </w:instrText>
          </w:r>
          <w:r>
            <w:rPr>
              <w:color w:val="auto"/>
              <w:sz w:val="24"/>
              <w:szCs w:val="24"/>
              <w:highlight w:val="none"/>
            </w:rPr>
            <w:fldChar w:fldCharType="separate"/>
          </w:r>
          <w:r>
            <w:rPr>
              <w:rFonts w:hint="eastAsia" w:ascii="楷体" w:hAnsi="楷体" w:eastAsia="楷体"/>
              <w:color w:val="auto"/>
              <w:sz w:val="24"/>
              <w:szCs w:val="24"/>
              <w:highlight w:val="none"/>
              <w:lang w:eastAsia="zh-CN"/>
            </w:rPr>
            <w:t>（四）照片要求</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_Toc28663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_Toc16265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个人简历</w:t>
          </w:r>
          <w:r>
            <w:rPr>
              <w:color w:val="auto"/>
              <w:sz w:val="24"/>
              <w:szCs w:val="24"/>
              <w:highlight w:val="none"/>
            </w:rPr>
            <w:tab/>
          </w:r>
          <w:r>
            <w:rPr>
              <w:rFonts w:hint="eastAsia"/>
              <w:color w:val="auto"/>
              <w:sz w:val="24"/>
              <w:szCs w:val="24"/>
              <w:highlight w:val="none"/>
              <w:lang w:val="en-US" w:eastAsia="zh-CN"/>
            </w:rPr>
            <w:t>3</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六</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应届毕业生定义</w:t>
          </w:r>
          <w:r>
            <w:rPr>
              <w:color w:val="auto"/>
              <w:sz w:val="24"/>
              <w:szCs w:val="24"/>
              <w:highlight w:val="none"/>
            </w:rPr>
            <w:tab/>
          </w:r>
          <w:r>
            <w:rPr>
              <w:rFonts w:hint="eastAsia"/>
              <w:color w:val="auto"/>
              <w:sz w:val="24"/>
              <w:szCs w:val="24"/>
              <w:highlight w:val="none"/>
              <w:lang w:val="en-US" w:eastAsia="zh-CN"/>
            </w:rPr>
            <w:t>4</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七</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回避情形</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_Toc32153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eastAsia="zh-CN"/>
            </w:rPr>
            <w:t xml:space="preserve">四、 </w:t>
          </w:r>
          <w:r>
            <w:rPr>
              <w:rFonts w:hint="eastAsia" w:ascii="黑体" w:hAnsi="黑体" w:eastAsia="黑体"/>
              <w:bCs/>
              <w:color w:val="auto"/>
              <w:sz w:val="24"/>
              <w:szCs w:val="24"/>
              <w:highlight w:val="none"/>
            </w:rPr>
            <w:t>年龄</w:t>
          </w:r>
          <w:r>
            <w:rPr>
              <w:rFonts w:hint="eastAsia" w:ascii="黑体" w:hAnsi="黑体" w:eastAsia="黑体"/>
              <w:bCs/>
              <w:color w:val="auto"/>
              <w:sz w:val="24"/>
              <w:szCs w:val="24"/>
              <w:highlight w:val="none"/>
              <w:lang w:eastAsia="zh-CN"/>
            </w:rPr>
            <w:t>、资格（历）等的</w:t>
          </w:r>
          <w:r>
            <w:rPr>
              <w:rFonts w:hint="eastAsia" w:ascii="黑体" w:hAnsi="黑体" w:eastAsia="黑体"/>
              <w:bCs/>
              <w:color w:val="auto"/>
              <w:sz w:val="24"/>
              <w:szCs w:val="24"/>
              <w:highlight w:val="none"/>
            </w:rPr>
            <w:t>计算</w:t>
          </w:r>
          <w:r>
            <w:rPr>
              <w:rFonts w:hint="eastAsia" w:ascii="黑体" w:hAnsi="黑体" w:eastAsia="黑体"/>
              <w:bCs/>
              <w:color w:val="auto"/>
              <w:sz w:val="24"/>
              <w:szCs w:val="24"/>
              <w:highlight w:val="none"/>
              <w:lang w:eastAsia="zh-CN"/>
            </w:rPr>
            <w:t>办法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_Toc22003 </w:instrText>
          </w:r>
          <w:r>
            <w:rPr>
              <w:color w:val="auto"/>
              <w:sz w:val="24"/>
              <w:szCs w:val="24"/>
              <w:highlight w:val="none"/>
            </w:rPr>
            <w:fldChar w:fldCharType="separate"/>
          </w:r>
          <w:r>
            <w:rPr>
              <w:rFonts w:hint="eastAsia" w:ascii="楷体" w:hAnsi="楷体" w:eastAsia="楷体" w:cs="楷体"/>
              <w:bCs/>
              <w:color w:val="auto"/>
              <w:sz w:val="24"/>
              <w:szCs w:val="24"/>
              <w:highlight w:val="none"/>
            </w:rPr>
            <w:t>（一） 年龄</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_Toc28438 </w:instrText>
          </w:r>
          <w:r>
            <w:rPr>
              <w:color w:val="auto"/>
              <w:sz w:val="24"/>
              <w:szCs w:val="24"/>
              <w:highlight w:val="none"/>
            </w:rPr>
            <w:fldChar w:fldCharType="separate"/>
          </w:r>
          <w:r>
            <w:rPr>
              <w:rFonts w:hint="eastAsia" w:ascii="楷体" w:hAnsi="楷体" w:eastAsia="楷体" w:cs="楷体"/>
              <w:bCs/>
              <w:color w:val="auto"/>
              <w:sz w:val="24"/>
              <w:szCs w:val="24"/>
              <w:highlight w:val="none"/>
            </w:rPr>
            <w:t>（二） 资格（历）</w:t>
          </w:r>
          <w:r>
            <w:rPr>
              <w:rFonts w:hint="eastAsia" w:ascii="楷体" w:hAnsi="楷体" w:eastAsia="楷体" w:cs="楷体"/>
              <w:bCs/>
              <w:color w:val="auto"/>
              <w:sz w:val="24"/>
              <w:szCs w:val="24"/>
              <w:highlight w:val="none"/>
              <w:lang w:eastAsia="zh-CN"/>
            </w:rPr>
            <w:t>等</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_Toc11977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五、 </w:t>
          </w:r>
          <w:r>
            <w:rPr>
              <w:rFonts w:hint="eastAsia" w:ascii="黑体" w:hAnsi="黑体" w:eastAsia="黑体"/>
              <w:bCs/>
              <w:color w:val="auto"/>
              <w:sz w:val="24"/>
              <w:szCs w:val="24"/>
              <w:highlight w:val="none"/>
            </w:rPr>
            <w:t>学历（位）认定</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_Toc14664 </w:instrText>
          </w:r>
          <w:r>
            <w:rPr>
              <w:color w:val="auto"/>
              <w:sz w:val="24"/>
              <w:szCs w:val="24"/>
              <w:highlight w:val="none"/>
            </w:rPr>
            <w:fldChar w:fldCharType="separate"/>
          </w:r>
          <w:r>
            <w:rPr>
              <w:rFonts w:hint="eastAsia" w:ascii="楷体" w:hAnsi="楷体" w:eastAsia="楷体"/>
              <w:color w:val="auto"/>
              <w:sz w:val="24"/>
              <w:szCs w:val="24"/>
              <w:highlight w:val="none"/>
            </w:rPr>
            <w:t>（一）境内学历</w:t>
          </w:r>
          <w:r>
            <w:rPr>
              <w:rFonts w:hint="eastAsia" w:ascii="楷体" w:hAnsi="楷体" w:eastAsia="楷体"/>
              <w:color w:val="auto"/>
              <w:sz w:val="24"/>
              <w:szCs w:val="24"/>
              <w:highlight w:val="none"/>
              <w:lang w:eastAsia="zh-CN"/>
            </w:rPr>
            <w:t>（位）</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_Toc15417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国（境）外</w:t>
          </w:r>
          <w:r>
            <w:rPr>
              <w:rFonts w:hint="eastAsia" w:ascii="楷体" w:hAnsi="楷体" w:eastAsia="楷体"/>
              <w:color w:val="auto"/>
              <w:sz w:val="24"/>
              <w:szCs w:val="24"/>
              <w:highlight w:val="none"/>
            </w:rPr>
            <w:t>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fldLock="1"/>
          </w:r>
          <w:r>
            <w:rPr>
              <w:color w:val="auto"/>
              <w:sz w:val="24"/>
              <w:szCs w:val="24"/>
              <w:highlight w:val="none"/>
            </w:rPr>
            <w:instrText xml:space="preserve"> HYPERLINK \l _Toc3722 </w:instrText>
          </w:r>
          <w:r>
            <w:rPr>
              <w:color w:val="auto"/>
              <w:sz w:val="24"/>
              <w:szCs w:val="24"/>
              <w:highlight w:val="none"/>
            </w:rPr>
            <w:fldChar w:fldCharType="separate"/>
          </w:r>
          <w:r>
            <w:rPr>
              <w:rFonts w:hint="eastAsia" w:ascii="楷体" w:hAnsi="楷体" w:eastAsia="楷体"/>
              <w:color w:val="auto"/>
              <w:sz w:val="24"/>
              <w:szCs w:val="24"/>
              <w:highlight w:val="none"/>
            </w:rPr>
            <w:t>（三）我省“双学位”“双专业”学历</w:t>
          </w:r>
          <w:r>
            <w:rPr>
              <w:color w:val="auto"/>
              <w:sz w:val="24"/>
              <w:szCs w:val="24"/>
              <w:highlight w:val="none"/>
            </w:rPr>
            <w:tab/>
          </w:r>
          <w:r>
            <w:rPr>
              <w:rFonts w:hint="eastAsia"/>
              <w:color w:val="auto"/>
              <w:sz w:val="24"/>
              <w:szCs w:val="24"/>
              <w:highlight w:val="none"/>
              <w:lang w:val="en-US" w:eastAsia="zh-CN"/>
            </w:rPr>
            <w:t>7</w:t>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_Toc32469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提醒事项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7</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_Toc20015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六、 </w:t>
          </w:r>
          <w:r>
            <w:rPr>
              <w:rFonts w:hint="eastAsia" w:ascii="黑体" w:hAnsi="黑体" w:eastAsia="黑体"/>
              <w:bCs/>
              <w:color w:val="auto"/>
              <w:sz w:val="24"/>
              <w:szCs w:val="24"/>
              <w:highlight w:val="none"/>
            </w:rPr>
            <w:t>专业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_Toc15777 </w:instrText>
          </w:r>
          <w:r>
            <w:rPr>
              <w:color w:val="auto"/>
              <w:sz w:val="24"/>
              <w:szCs w:val="24"/>
              <w:highlight w:val="none"/>
            </w:rPr>
            <w:fldChar w:fldCharType="separate"/>
          </w:r>
          <w:r>
            <w:rPr>
              <w:rFonts w:hint="eastAsia" w:ascii="楷体" w:hAnsi="楷体" w:eastAsia="楷体"/>
              <w:color w:val="auto"/>
              <w:sz w:val="24"/>
              <w:szCs w:val="24"/>
              <w:highlight w:val="none"/>
            </w:rPr>
            <w:t>（一）填报专业名称</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_Toc23604 </w:instrText>
          </w:r>
          <w:r>
            <w:rPr>
              <w:color w:val="auto"/>
              <w:sz w:val="24"/>
              <w:szCs w:val="24"/>
              <w:highlight w:val="none"/>
            </w:rPr>
            <w:fldChar w:fldCharType="separate"/>
          </w:r>
          <w:r>
            <w:rPr>
              <w:rFonts w:hint="eastAsia" w:ascii="楷体" w:hAnsi="楷体" w:eastAsia="楷体"/>
              <w:color w:val="auto"/>
              <w:sz w:val="24"/>
              <w:szCs w:val="24"/>
              <w:highlight w:val="none"/>
            </w:rPr>
            <w:t>（二）专业与学历（位）的对应关系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_Toc26996 </w:instrText>
          </w:r>
          <w:r>
            <w:rPr>
              <w:color w:val="auto"/>
              <w:sz w:val="24"/>
              <w:szCs w:val="24"/>
              <w:highlight w:val="none"/>
            </w:rPr>
            <w:fldChar w:fldCharType="separate"/>
          </w:r>
          <w:r>
            <w:rPr>
              <w:rFonts w:hint="eastAsia" w:ascii="楷体" w:hAnsi="楷体" w:eastAsia="楷体"/>
              <w:color w:val="auto"/>
              <w:sz w:val="24"/>
              <w:szCs w:val="24"/>
              <w:highlight w:val="none"/>
            </w:rPr>
            <w:t>（三）专业资格的</w:t>
          </w:r>
          <w:r>
            <w:rPr>
              <w:rFonts w:hint="eastAsia" w:ascii="楷体" w:hAnsi="楷体" w:eastAsia="楷体"/>
              <w:color w:val="auto"/>
              <w:sz w:val="24"/>
              <w:szCs w:val="24"/>
              <w:highlight w:val="none"/>
              <w:lang w:eastAsia="zh-CN"/>
            </w:rPr>
            <w:t>认</w:t>
          </w:r>
          <w:r>
            <w:rPr>
              <w:rFonts w:hint="eastAsia" w:ascii="楷体" w:hAnsi="楷体" w:eastAsia="楷体"/>
              <w:color w:val="auto"/>
              <w:sz w:val="24"/>
              <w:szCs w:val="24"/>
              <w:highlight w:val="none"/>
            </w:rPr>
            <w:t>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9</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_Toc20102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val="en-US" w:eastAsia="zh-CN"/>
            </w:rPr>
            <w:t xml:space="preserve">七、 </w:t>
          </w:r>
          <w:r>
            <w:rPr>
              <w:rFonts w:hint="eastAsia" w:ascii="黑体" w:hAnsi="黑体" w:eastAsia="黑体"/>
              <w:bCs/>
              <w:color w:val="auto"/>
              <w:sz w:val="24"/>
              <w:szCs w:val="24"/>
              <w:highlight w:val="none"/>
              <w:lang w:eastAsia="zh-CN"/>
            </w:rPr>
            <w:t>岗位开考比例</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_Toc15326 </w:instrText>
          </w:r>
          <w:r>
            <w:rPr>
              <w:color w:val="auto"/>
              <w:sz w:val="24"/>
              <w:szCs w:val="24"/>
              <w:highlight w:val="none"/>
            </w:rPr>
            <w:fldChar w:fldCharType="separate"/>
          </w:r>
          <w:r>
            <w:rPr>
              <w:rFonts w:hint="eastAsia"/>
              <w:color w:val="auto"/>
              <w:sz w:val="24"/>
              <w:szCs w:val="24"/>
              <w:highlight w:val="none"/>
              <w:lang w:eastAsia="zh-CN"/>
            </w:rPr>
            <w:t>八</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笔试加分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_Toc15515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（一）加分原则</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_Toc11331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（二）加分对象</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rFonts w:hint="eastAsia" w:eastAsia="仿宋_GB2312"/>
              <w:color w:val="auto"/>
              <w:sz w:val="21"/>
              <w:szCs w:val="24"/>
              <w:highlight w:val="none"/>
              <w:lang w:val="en-US" w:eastAsia="zh-CN"/>
            </w:rPr>
            <w:t>1.</w:t>
          </w:r>
          <w:r>
            <w:rPr>
              <w:rFonts w:hint="eastAsia" w:eastAsia="仿宋_GB2312"/>
              <w:color w:val="auto"/>
              <w:sz w:val="24"/>
              <w:szCs w:val="24"/>
              <w:highlight w:val="none"/>
              <w:lang w:val="en-US" w:eastAsia="zh-CN"/>
            </w:rPr>
            <w:t>服务基层项目高校毕业人员</w:t>
          </w:r>
          <w:r>
            <w:rPr>
              <w:rFonts w:hint="eastAsia"/>
              <w:color w:val="auto"/>
              <w:sz w:val="24"/>
              <w:szCs w:val="24"/>
              <w:highlight w:val="none"/>
              <w:lang w:val="en-US" w:eastAsia="zh-CN"/>
            </w:rPr>
            <w:t>.................................................</w:t>
          </w:r>
          <w:r>
            <w:rPr>
              <w:rFonts w:hint="eastAsia"/>
              <w:color w:val="auto"/>
              <w:sz w:val="21"/>
              <w:szCs w:val="24"/>
              <w:highlight w:val="none"/>
              <w:lang w:val="en-US" w:eastAsia="zh-CN"/>
            </w:rPr>
            <w:t>.....10</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_Toc23253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2.退役士兵（含大学生退役士兵）</w:t>
          </w:r>
          <w:r>
            <w:rPr>
              <w:color w:val="auto"/>
              <w:sz w:val="24"/>
              <w:szCs w:val="24"/>
              <w:highlight w:val="none"/>
            </w:rPr>
            <w:tab/>
          </w:r>
          <w:r>
            <w:rPr>
              <w:color w:val="auto"/>
              <w:sz w:val="21"/>
              <w:szCs w:val="24"/>
              <w:highlight w:val="none"/>
            </w:rPr>
            <w:fldChar w:fldCharType="begin" w:fldLock="1"/>
          </w:r>
          <w:r>
            <w:rPr>
              <w:color w:val="auto"/>
              <w:sz w:val="21"/>
              <w:szCs w:val="24"/>
              <w:highlight w:val="none"/>
            </w:rPr>
            <w:instrText xml:space="preserve"> PAGEREF _Toc23253 \h </w:instrText>
          </w:r>
          <w:r>
            <w:rPr>
              <w:color w:val="auto"/>
              <w:sz w:val="21"/>
              <w:szCs w:val="24"/>
              <w:highlight w:val="none"/>
            </w:rPr>
            <w:fldChar w:fldCharType="separate"/>
          </w:r>
          <w:r>
            <w:rPr>
              <w:color w:val="auto"/>
              <w:sz w:val="21"/>
              <w:szCs w:val="24"/>
              <w:highlight w:val="none"/>
            </w:rPr>
            <w:t>1</w:t>
          </w:r>
          <w:r>
            <w:rPr>
              <w:color w:val="auto"/>
              <w:sz w:val="21"/>
              <w:szCs w:val="24"/>
              <w:highlight w:val="none"/>
            </w:rPr>
            <w:fldChar w:fldCharType="end"/>
          </w:r>
          <w:r>
            <w:rPr>
              <w:color w:val="auto"/>
              <w:sz w:val="24"/>
              <w:szCs w:val="24"/>
              <w:highlight w:val="none"/>
            </w:rPr>
            <w:fldChar w:fldCharType="end"/>
          </w:r>
          <w:r>
            <w:rPr>
              <w:rFonts w:hint="eastAsia"/>
              <w:color w:val="auto"/>
              <w:sz w:val="21"/>
              <w:szCs w:val="24"/>
              <w:highlight w:val="none"/>
              <w:lang w:val="en-US" w:eastAsia="zh-CN"/>
            </w:rPr>
            <w:t>1</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_Toc21973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3.退役优秀运动员</w:t>
          </w:r>
          <w:r>
            <w:rPr>
              <w:color w:val="auto"/>
              <w:sz w:val="24"/>
              <w:szCs w:val="24"/>
              <w:highlight w:val="none"/>
            </w:rPr>
            <w:tab/>
          </w:r>
          <w:r>
            <w:rPr>
              <w:color w:val="auto"/>
              <w:sz w:val="21"/>
              <w:szCs w:val="24"/>
              <w:highlight w:val="none"/>
            </w:rPr>
            <w:fldChar w:fldCharType="begin" w:fldLock="1"/>
          </w:r>
          <w:r>
            <w:rPr>
              <w:color w:val="auto"/>
              <w:sz w:val="21"/>
              <w:szCs w:val="24"/>
              <w:highlight w:val="none"/>
            </w:rPr>
            <w:instrText xml:space="preserve"> PAGEREF _Toc21973 \h </w:instrText>
          </w:r>
          <w:r>
            <w:rPr>
              <w:color w:val="auto"/>
              <w:sz w:val="21"/>
              <w:szCs w:val="24"/>
              <w:highlight w:val="none"/>
            </w:rPr>
            <w:fldChar w:fldCharType="separate"/>
          </w:r>
          <w:r>
            <w:rPr>
              <w:color w:val="auto"/>
              <w:sz w:val="21"/>
              <w:szCs w:val="24"/>
              <w:highlight w:val="none"/>
            </w:rPr>
            <w:t>1</w:t>
          </w:r>
          <w:r>
            <w:rPr>
              <w:color w:val="auto"/>
              <w:sz w:val="21"/>
              <w:szCs w:val="24"/>
              <w:highlight w:val="none"/>
            </w:rPr>
            <w:fldChar w:fldCharType="end"/>
          </w:r>
          <w:r>
            <w:rPr>
              <w:color w:val="auto"/>
              <w:sz w:val="24"/>
              <w:szCs w:val="24"/>
              <w:highlight w:val="none"/>
            </w:rPr>
            <w:fldChar w:fldCharType="end"/>
          </w:r>
          <w:r>
            <w:rPr>
              <w:rFonts w:hint="eastAsia"/>
              <w:color w:val="auto"/>
              <w:sz w:val="21"/>
              <w:szCs w:val="24"/>
              <w:highlight w:val="none"/>
              <w:lang w:val="en-US" w:eastAsia="zh-CN"/>
            </w:rPr>
            <w:t>2</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_Toc22910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（三）加分证明材料</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_Toc22910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2</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_Toc24313 </w:instrText>
          </w:r>
          <w:r>
            <w:rPr>
              <w:color w:val="auto"/>
              <w:sz w:val="24"/>
              <w:szCs w:val="24"/>
              <w:highlight w:val="none"/>
            </w:rPr>
            <w:fldChar w:fldCharType="separate"/>
          </w:r>
          <w:r>
            <w:rPr>
              <w:rFonts w:hint="eastAsia"/>
              <w:color w:val="auto"/>
              <w:sz w:val="24"/>
              <w:szCs w:val="24"/>
              <w:highlight w:val="none"/>
              <w:lang w:eastAsia="zh-CN"/>
            </w:rPr>
            <w:t>九</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综合总分计算</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_Toc24313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_Toc4568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 </w:t>
          </w:r>
          <w:r>
            <w:rPr>
              <w:rFonts w:hint="eastAsia" w:ascii="黑体" w:hAnsi="黑体" w:eastAsia="黑体"/>
              <w:bCs/>
              <w:color w:val="auto"/>
              <w:sz w:val="24"/>
              <w:szCs w:val="24"/>
              <w:highlight w:val="none"/>
            </w:rPr>
            <w:t>体检和考察</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_Toc4568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3</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_Toc4410 </w:instrText>
          </w:r>
          <w:r>
            <w:rPr>
              <w:color w:val="auto"/>
              <w:sz w:val="24"/>
              <w:szCs w:val="24"/>
              <w:highlight w:val="none"/>
            </w:rPr>
            <w:fldChar w:fldCharType="separate"/>
          </w:r>
          <w:r>
            <w:rPr>
              <w:rFonts w:hint="eastAsia" w:ascii="楷体" w:hAnsi="楷体" w:eastAsia="楷体"/>
              <w:color w:val="auto"/>
              <w:sz w:val="24"/>
              <w:szCs w:val="24"/>
              <w:highlight w:val="none"/>
            </w:rPr>
            <w:t>（一）确定体检人选</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_Toc4410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3</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_Toc25922 </w:instrText>
          </w:r>
          <w:r>
            <w:rPr>
              <w:color w:val="auto"/>
              <w:sz w:val="24"/>
              <w:szCs w:val="24"/>
              <w:highlight w:val="none"/>
            </w:rPr>
            <w:fldChar w:fldCharType="separate"/>
          </w:r>
          <w:r>
            <w:rPr>
              <w:rFonts w:hint="eastAsia" w:ascii="楷体" w:hAnsi="楷体" w:eastAsia="楷体"/>
              <w:color w:val="auto"/>
              <w:sz w:val="24"/>
              <w:szCs w:val="24"/>
              <w:highlight w:val="none"/>
            </w:rPr>
            <w:t>（二）组织体检</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_Toc25922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3</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_Toc25619 </w:instrText>
          </w:r>
          <w:r>
            <w:rPr>
              <w:color w:val="auto"/>
              <w:sz w:val="24"/>
              <w:szCs w:val="24"/>
              <w:highlight w:val="none"/>
            </w:rPr>
            <w:fldChar w:fldCharType="separate"/>
          </w:r>
          <w:r>
            <w:rPr>
              <w:rFonts w:hint="eastAsia" w:ascii="楷体" w:hAnsi="楷体" w:eastAsia="楷体"/>
              <w:color w:val="auto"/>
              <w:sz w:val="24"/>
              <w:szCs w:val="24"/>
              <w:highlight w:val="none"/>
            </w:rPr>
            <w:t>（三）体检依据</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_Toc25619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_Toc25242 </w:instrText>
          </w:r>
          <w:r>
            <w:rPr>
              <w:color w:val="auto"/>
              <w:sz w:val="24"/>
              <w:szCs w:val="24"/>
              <w:highlight w:val="none"/>
            </w:rPr>
            <w:fldChar w:fldCharType="separate"/>
          </w:r>
          <w:r>
            <w:rPr>
              <w:rFonts w:hint="eastAsia" w:ascii="楷体" w:hAnsi="楷体" w:eastAsia="楷体"/>
              <w:color w:val="auto"/>
              <w:sz w:val="24"/>
              <w:szCs w:val="24"/>
              <w:highlight w:val="none"/>
            </w:rPr>
            <w:t>（四）体检复检</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_Toc25242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4</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_Toc29445 </w:instrText>
          </w:r>
          <w:r>
            <w:rPr>
              <w:color w:val="auto"/>
              <w:sz w:val="24"/>
              <w:szCs w:val="24"/>
              <w:highlight w:val="none"/>
            </w:rPr>
            <w:fldChar w:fldCharType="separate"/>
          </w:r>
          <w:r>
            <w:rPr>
              <w:rFonts w:hint="eastAsia" w:ascii="楷体" w:hAnsi="楷体" w:eastAsia="楷体"/>
              <w:color w:val="auto"/>
              <w:sz w:val="24"/>
              <w:szCs w:val="24"/>
              <w:highlight w:val="none"/>
            </w:rPr>
            <w:t>（五）</w:t>
          </w:r>
          <w:r>
            <w:rPr>
              <w:rFonts w:hint="eastAsia" w:ascii="楷体" w:hAnsi="楷体" w:eastAsia="楷体"/>
              <w:color w:val="auto"/>
              <w:sz w:val="24"/>
              <w:szCs w:val="24"/>
              <w:highlight w:val="none"/>
              <w:lang w:eastAsia="zh-CN"/>
            </w:rPr>
            <w:t>可延迟</w:t>
          </w:r>
          <w:r>
            <w:rPr>
              <w:rFonts w:hint="eastAsia" w:ascii="楷体" w:hAnsi="楷体" w:eastAsia="楷体"/>
              <w:color w:val="auto"/>
              <w:sz w:val="24"/>
              <w:szCs w:val="24"/>
              <w:highlight w:val="none"/>
            </w:rPr>
            <w:t>体检</w:t>
          </w:r>
          <w:r>
            <w:rPr>
              <w:rFonts w:hint="eastAsia" w:ascii="楷体" w:hAnsi="楷体" w:eastAsia="楷体"/>
              <w:color w:val="auto"/>
              <w:sz w:val="24"/>
              <w:szCs w:val="24"/>
              <w:highlight w:val="none"/>
              <w:lang w:eastAsia="zh-CN"/>
            </w:rPr>
            <w:t>的情形</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_Toc29445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5</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_Toc26353 </w:instrText>
          </w:r>
          <w:r>
            <w:rPr>
              <w:color w:val="auto"/>
              <w:sz w:val="24"/>
              <w:szCs w:val="24"/>
              <w:highlight w:val="none"/>
            </w:rPr>
            <w:fldChar w:fldCharType="separate"/>
          </w:r>
          <w:r>
            <w:rPr>
              <w:rFonts w:hint="eastAsia" w:ascii="楷体" w:hAnsi="楷体" w:eastAsia="楷体"/>
              <w:color w:val="auto"/>
              <w:sz w:val="24"/>
              <w:szCs w:val="24"/>
              <w:highlight w:val="none"/>
            </w:rPr>
            <w:t>（六）考察</w:t>
          </w:r>
          <w:r>
            <w:rPr>
              <w:color w:val="auto"/>
              <w:sz w:val="24"/>
              <w:szCs w:val="24"/>
              <w:highlight w:val="none"/>
            </w:rPr>
            <w:tab/>
          </w:r>
          <w:r>
            <w:rPr>
              <w:color w:val="auto"/>
              <w:sz w:val="24"/>
              <w:szCs w:val="24"/>
              <w:highlight w:val="none"/>
            </w:rPr>
            <w:fldChar w:fldCharType="begin" w:fldLock="1"/>
          </w:r>
          <w:r>
            <w:rPr>
              <w:color w:val="auto"/>
              <w:sz w:val="24"/>
              <w:szCs w:val="24"/>
              <w:highlight w:val="none"/>
            </w:rPr>
            <w:instrText xml:space="preserve"> PAGEREF _Toc26353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十</w:t>
          </w:r>
          <w:r>
            <w:rPr>
              <w:rFonts w:hint="eastAsia" w:ascii="黑体" w:hAnsi="黑体" w:eastAsia="黑体" w:cs="黑体"/>
              <w:bCs/>
              <w:strike w:val="0"/>
              <w:dstrike w:val="0"/>
              <w:color w:val="auto"/>
              <w:sz w:val="24"/>
              <w:szCs w:val="24"/>
              <w:highlight w:val="none"/>
              <w:lang w:eastAsia="zh-CN"/>
            </w:rPr>
            <w:t>一</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公示</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_Toc26802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十</w:t>
          </w:r>
          <w:r>
            <w:rPr>
              <w:rFonts w:hint="eastAsia" w:ascii="黑体" w:hAnsi="黑体" w:eastAsia="黑体" w:cs="黑体"/>
              <w:bCs/>
              <w:strike w:val="0"/>
              <w:dstrike w:val="0"/>
              <w:color w:val="auto"/>
              <w:sz w:val="24"/>
              <w:szCs w:val="24"/>
              <w:highlight w:val="none"/>
              <w:lang w:eastAsia="zh-CN"/>
            </w:rPr>
            <w:t>二</w:t>
          </w:r>
          <w:r>
            <w:rPr>
              <w:rFonts w:hint="eastAsia" w:ascii="黑体" w:hAnsi="黑体" w:eastAsia="黑体" w:cs="黑体"/>
              <w:bCs/>
              <w:strike w:val="0"/>
              <w:dstrike w:val="0"/>
              <w:color w:val="auto"/>
              <w:sz w:val="24"/>
              <w:szCs w:val="24"/>
              <w:highlight w:val="none"/>
            </w:rPr>
            <w:t xml:space="preserve">、 </w:t>
          </w:r>
          <w:r>
            <w:rPr>
              <w:rFonts w:hint="eastAsia" w:ascii="黑体" w:hAnsi="黑体" w:eastAsia="黑体"/>
              <w:bCs/>
              <w:color w:val="auto"/>
              <w:sz w:val="24"/>
              <w:szCs w:val="24"/>
              <w:highlight w:val="none"/>
            </w:rPr>
            <w:t>聘用</w:t>
          </w:r>
          <w:r>
            <w:rPr>
              <w:rFonts w:hint="eastAsia" w:ascii="黑体" w:hAnsi="黑体" w:eastAsia="黑体"/>
              <w:bCs/>
              <w:color w:val="auto"/>
              <w:sz w:val="24"/>
              <w:szCs w:val="24"/>
              <w:highlight w:val="none"/>
              <w:lang w:eastAsia="zh-CN"/>
            </w:rPr>
            <w:t>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15</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_Toc6845 </w:instrText>
          </w:r>
          <w:r>
            <w:rPr>
              <w:color w:val="auto"/>
              <w:sz w:val="24"/>
              <w:szCs w:val="24"/>
              <w:highlight w:val="none"/>
            </w:rPr>
            <w:fldChar w:fldCharType="separate"/>
          </w:r>
          <w:r>
            <w:rPr>
              <w:rFonts w:hint="eastAsia" w:ascii="楷体" w:hAnsi="楷体" w:eastAsia="楷体"/>
              <w:color w:val="auto"/>
              <w:sz w:val="24"/>
              <w:szCs w:val="24"/>
              <w:highlight w:val="none"/>
            </w:rPr>
            <w:t>（一）聘用手续办理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_Toc26888 </w:instrText>
          </w:r>
          <w:r>
            <w:rPr>
              <w:color w:val="auto"/>
              <w:sz w:val="24"/>
              <w:szCs w:val="24"/>
              <w:highlight w:val="none"/>
            </w:rPr>
            <w:fldChar w:fldCharType="separate"/>
          </w:r>
          <w:r>
            <w:rPr>
              <w:rFonts w:hint="eastAsia" w:ascii="楷体" w:hAnsi="楷体" w:eastAsia="楷体"/>
              <w:color w:val="auto"/>
              <w:sz w:val="24"/>
              <w:szCs w:val="24"/>
              <w:highlight w:val="none"/>
            </w:rPr>
            <w:t>（二）岗位聘任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_Toc6228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highlight w:val="none"/>
            </w:rPr>
            <w:t>十</w:t>
          </w:r>
          <w:r>
            <w:rPr>
              <w:rFonts w:hint="eastAsia" w:ascii="黑体" w:hAnsi="黑体" w:eastAsia="黑体" w:cs="黑体"/>
              <w:bCs w:val="0"/>
              <w:strike w:val="0"/>
              <w:dstrike w:val="0"/>
              <w:color w:val="auto"/>
              <w:sz w:val="24"/>
              <w:szCs w:val="24"/>
              <w:highlight w:val="none"/>
              <w:lang w:eastAsia="zh-CN"/>
            </w:rPr>
            <w:t>三</w:t>
          </w:r>
          <w:r>
            <w:rPr>
              <w:rFonts w:hint="eastAsia" w:ascii="黑体" w:hAnsi="黑体" w:eastAsia="黑体" w:cs="黑体"/>
              <w:bCs w:val="0"/>
              <w:strike w:val="0"/>
              <w:dstrike w:val="0"/>
              <w:color w:val="auto"/>
              <w:sz w:val="24"/>
              <w:szCs w:val="24"/>
              <w:highlight w:val="none"/>
            </w:rPr>
            <w:t xml:space="preserve">、 </w:t>
          </w:r>
          <w:r>
            <w:rPr>
              <w:rFonts w:hint="eastAsia" w:ascii="黑体" w:hAnsi="黑体" w:eastAsia="黑体"/>
              <w:bCs/>
              <w:color w:val="auto"/>
              <w:sz w:val="24"/>
              <w:szCs w:val="24"/>
              <w:highlight w:val="none"/>
            </w:rPr>
            <w:t>其他</w:t>
          </w:r>
          <w:r>
            <w:rPr>
              <w:rFonts w:hint="eastAsia" w:ascii="黑体" w:hAnsi="黑体" w:eastAsia="黑体"/>
              <w:bCs/>
              <w:color w:val="auto"/>
              <w:sz w:val="24"/>
              <w:szCs w:val="24"/>
              <w:highlight w:val="none"/>
              <w:lang w:eastAsia="zh-CN"/>
            </w:rPr>
            <w:t>需说明</w:t>
          </w:r>
          <w:r>
            <w:rPr>
              <w:rFonts w:hint="eastAsia" w:ascii="黑体" w:hAnsi="黑体" w:eastAsia="黑体"/>
              <w:bCs/>
              <w:color w:val="auto"/>
              <w:sz w:val="24"/>
              <w:szCs w:val="24"/>
              <w:highlight w:val="none"/>
            </w:rPr>
            <w:t>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_Toc22325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一</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生源</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_Toc18624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二</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港澳台人员</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fldLock="1"/>
          </w:r>
          <w:r>
            <w:rPr>
              <w:color w:val="auto"/>
              <w:sz w:val="24"/>
              <w:szCs w:val="24"/>
              <w:highlight w:val="none"/>
            </w:rPr>
            <w:instrText xml:space="preserve"> HYPERLINK \l _Toc22184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三</w:t>
          </w:r>
          <w:r>
            <w:rPr>
              <w:rFonts w:hint="eastAsia" w:ascii="仿宋_GB2312" w:eastAsia="仿宋_GB2312"/>
              <w:bCs w:val="0"/>
              <w:strike w:val="0"/>
              <w:dstrike w:val="0"/>
              <w:color w:val="auto"/>
              <w:sz w:val="24"/>
              <w:szCs w:val="24"/>
              <w:highlight w:val="none"/>
            </w:rPr>
            <w:t xml:space="preserve">） </w:t>
          </w:r>
          <w:r>
            <w:rPr>
              <w:rFonts w:hint="eastAsia" w:ascii="楷体" w:hAnsi="楷体" w:eastAsia="楷体"/>
              <w:bCs w:val="0"/>
              <w:color w:val="auto"/>
              <w:sz w:val="24"/>
              <w:szCs w:val="24"/>
              <w:highlight w:val="none"/>
            </w:rPr>
            <w:t>技工院校毕业生</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厦门港口管理局所属事业单位厦门港引航站补充编内工作人员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lang w:val="en-US" w:eastAsia="zh-CN"/>
        </w:rPr>
        <w:t>2023年2月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厦门港口管理局所属事业单位厦门港引航站补充编内工作人员考试（</w:t>
      </w:r>
      <w:r>
        <w:rPr>
          <w:rFonts w:hint="eastAsia" w:ascii="仿宋_GB2312" w:eastAsia="仿宋_GB2312"/>
          <w:color w:val="auto"/>
          <w:sz w:val="32"/>
          <w:szCs w:val="32"/>
          <w:highlight w:val="none"/>
          <w:u w:val="none"/>
          <w:lang w:val="en-US" w:eastAsia="zh-CN"/>
        </w:rPr>
        <w:t>2023年2月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1" w:name="_Toc12367"/>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1987</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月期间出生）</w:t>
      </w:r>
      <w:r>
        <w:rPr>
          <w:rFonts w:hint="eastAsia" w:ascii="仿宋_GB2312" w:eastAsia="仿宋_GB2312"/>
          <w:color w:val="auto"/>
          <w:sz w:val="32"/>
          <w:szCs w:val="32"/>
          <w:highlight w:val="none"/>
          <w:lang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2" w:name="_Toc30803"/>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曾因犯罪受过刑事处罚的；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试用期内的公务员或参公人员；未达到与当地公务员主管部门或单位组织人事部门约定服务年限的公务员和参公人员；</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lang w:val="en-US" w:eastAsia="zh-CN"/>
        </w:rPr>
        <w:t>2024</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2" w:firstLineChars="200"/>
        <w:textAlignment w:val="auto"/>
        <w:outlineLvl w:val="0"/>
        <w:rPr>
          <w:rFonts w:hint="eastAsia" w:ascii="黑体" w:hAnsi="黑体" w:eastAsia="黑体"/>
          <w:b/>
          <w:bCs/>
          <w:color w:val="auto"/>
          <w:sz w:val="32"/>
          <w:szCs w:val="32"/>
          <w:highlight w:val="none"/>
        </w:rPr>
      </w:pPr>
      <w:bookmarkStart w:id="3" w:name="_Toc30705"/>
      <w:r>
        <w:rPr>
          <w:rFonts w:hint="eastAsia" w:ascii="黑体" w:hAnsi="黑体" w:eastAsia="黑体"/>
          <w:b/>
          <w:bCs/>
          <w:color w:val="auto"/>
          <w:sz w:val="32"/>
          <w:szCs w:val="32"/>
          <w:highlight w:val="none"/>
          <w:lang w:eastAsia="zh-CN"/>
        </w:rPr>
        <w:t>选报岗位</w:t>
      </w:r>
      <w:bookmarkEnd w:id="3"/>
    </w:p>
    <w:p>
      <w:pPr>
        <w:ind w:firstLine="642" w:firstLineChars="200"/>
        <w:outlineLvl w:val="1"/>
        <w:rPr>
          <w:rFonts w:ascii="楷体" w:hAnsi="楷体" w:eastAsia="楷体"/>
          <w:b/>
          <w:color w:val="auto"/>
          <w:sz w:val="32"/>
          <w:szCs w:val="32"/>
          <w:highlight w:val="none"/>
        </w:rPr>
      </w:pPr>
      <w:bookmarkStart w:id="4" w:name="_Toc26059"/>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2" w:firstLineChars="200"/>
        <w:outlineLvl w:val="1"/>
        <w:rPr>
          <w:rFonts w:hint="eastAsia" w:ascii="楷体" w:hAnsi="楷体" w:eastAsia="楷体"/>
          <w:b/>
          <w:color w:val="auto"/>
          <w:sz w:val="32"/>
          <w:szCs w:val="32"/>
          <w:highlight w:val="none"/>
          <w:lang w:eastAsia="zh-CN"/>
        </w:rPr>
      </w:pP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二</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报考方式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本次考试</w:t>
      </w:r>
      <w:r>
        <w:rPr>
          <w:rFonts w:hint="eastAsia" w:ascii="仿宋_GB2312" w:eastAsia="仿宋_GB2312"/>
          <w:color w:val="auto"/>
          <w:sz w:val="32"/>
          <w:szCs w:val="32"/>
          <w:highlight w:val="none"/>
          <w:lang w:eastAsia="zh-CN"/>
        </w:rPr>
        <w:t>报名采取</w:t>
      </w:r>
      <w:r>
        <w:rPr>
          <w:rFonts w:hint="eastAsia" w:ascii="仿宋_GB2312" w:eastAsia="仿宋_GB2312"/>
          <w:color w:val="auto"/>
          <w:sz w:val="32"/>
          <w:szCs w:val="32"/>
          <w:highlight w:val="none"/>
          <w:lang w:val="en-US" w:eastAsia="zh-CN"/>
        </w:rPr>
        <w:t>EMS邮件的方式进行，报名时间以EMS邮件寄出时间为准。</w:t>
      </w:r>
    </w:p>
    <w:p>
      <w:pPr>
        <w:spacing w:line="360" w:lineRule="auto"/>
        <w:ind w:firstLine="640" w:firstLineChars="200"/>
        <w:rPr>
          <w:rFonts w:hint="eastAsia" w:ascii="仿宋" w:eastAsia="仿宋"/>
          <w:sz w:val="32"/>
          <w:szCs w:val="32"/>
        </w:rPr>
      </w:pPr>
      <w:r>
        <w:rPr>
          <w:rFonts w:hint="eastAsia" w:ascii="仿宋" w:eastAsia="仿宋"/>
          <w:sz w:val="32"/>
          <w:szCs w:val="32"/>
        </w:rPr>
        <w:t>收件地址：厦门市海沧区嵩屿中路799号；收件人：综合科钟小辉。收件人电话：0592-6894592（此电话仅用于邮寄快递使用）；邮政编码：361026。</w:t>
      </w:r>
    </w:p>
    <w:p>
      <w:pPr>
        <w:ind w:firstLine="642" w:firstLineChars="200"/>
        <w:outlineLvl w:val="1"/>
        <w:rPr>
          <w:rFonts w:ascii="楷体" w:hAnsi="楷体" w:eastAsia="楷体"/>
          <w:b/>
          <w:color w:val="auto"/>
          <w:sz w:val="32"/>
          <w:szCs w:val="32"/>
          <w:highlight w:val="none"/>
        </w:rPr>
      </w:pP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三</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报名材料</w:t>
      </w:r>
    </w:p>
    <w:p>
      <w:pPr>
        <w:spacing w:line="360" w:lineRule="auto"/>
        <w:ind w:firstLine="640" w:firstLineChars="200"/>
        <w:rPr>
          <w:rFonts w:ascii="仿宋" w:eastAsia="仿宋"/>
          <w:sz w:val="32"/>
          <w:szCs w:val="32"/>
        </w:rPr>
      </w:pPr>
      <w:r>
        <w:rPr>
          <w:rFonts w:hint="eastAsia" w:ascii="仿宋" w:eastAsia="仿宋"/>
          <w:sz w:val="32"/>
          <w:szCs w:val="32"/>
        </w:rPr>
        <w:t>报名时应提交已签名确认的报名表原件、近期正面免冠二寸彩色数码证件照3张，并提供以下材料彩色</w:t>
      </w:r>
      <w:r>
        <w:rPr>
          <w:rFonts w:ascii="仿宋" w:eastAsia="仿宋"/>
          <w:sz w:val="32"/>
          <w:szCs w:val="32"/>
        </w:rPr>
        <w:t>复印</w:t>
      </w:r>
      <w:r>
        <w:rPr>
          <w:rFonts w:hint="eastAsia" w:ascii="仿宋" w:eastAsia="仿宋"/>
          <w:sz w:val="32"/>
          <w:szCs w:val="32"/>
        </w:rPr>
        <w:t>件：</w:t>
      </w:r>
    </w:p>
    <w:p>
      <w:pPr>
        <w:spacing w:line="360" w:lineRule="auto"/>
        <w:ind w:firstLine="640" w:firstLineChars="200"/>
        <w:rPr>
          <w:rFonts w:ascii="仿宋" w:eastAsia="仿宋"/>
          <w:sz w:val="32"/>
          <w:szCs w:val="32"/>
        </w:rPr>
      </w:pPr>
      <w:r>
        <w:rPr>
          <w:rFonts w:hint="eastAsia" w:ascii="仿宋" w:eastAsia="仿宋"/>
          <w:sz w:val="32"/>
          <w:szCs w:val="32"/>
        </w:rPr>
        <w:t>1、身份证；</w:t>
      </w:r>
    </w:p>
    <w:p>
      <w:pPr>
        <w:spacing w:line="360" w:lineRule="auto"/>
        <w:ind w:firstLine="640" w:firstLineChars="200"/>
        <w:rPr>
          <w:rFonts w:ascii="仿宋" w:eastAsia="仿宋"/>
          <w:sz w:val="32"/>
          <w:szCs w:val="32"/>
        </w:rPr>
      </w:pPr>
      <w:r>
        <w:rPr>
          <w:rFonts w:hint="eastAsia" w:ascii="仿宋" w:eastAsia="仿宋"/>
          <w:sz w:val="32"/>
          <w:szCs w:val="32"/>
        </w:rPr>
        <w:t>2、</w:t>
      </w:r>
      <w:r>
        <w:rPr>
          <w:rFonts w:hint="eastAsia" w:ascii="仿宋_GB2312" w:hAnsi="仿宋_GB2312" w:eastAsia="仿宋_GB2312" w:cs="仿宋_GB2312"/>
          <w:sz w:val="32"/>
          <w:szCs w:val="32"/>
          <w:lang w:eastAsia="zh-CN"/>
        </w:rPr>
        <w:t>岗位要求的学历（位）证书及相关的资历证明；</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 w:eastAsia="仿宋"/>
          <w:sz w:val="32"/>
          <w:szCs w:val="32"/>
        </w:rPr>
        <w:t>3、</w:t>
      </w:r>
      <w:r>
        <w:rPr>
          <w:rFonts w:hint="eastAsia" w:ascii="仿宋_GB2312" w:hAnsi="仿宋_GB2312" w:eastAsia="仿宋_GB2312" w:cs="仿宋_GB2312"/>
          <w:sz w:val="32"/>
          <w:szCs w:val="32"/>
          <w:lang w:val="en-US" w:eastAsia="zh-CN"/>
        </w:rPr>
        <w:t>2023年应届</w:t>
      </w:r>
      <w:r>
        <w:rPr>
          <w:rFonts w:hint="eastAsia" w:ascii="仿宋_GB2312" w:hAnsi="仿宋_GB2312" w:eastAsia="仿宋_GB2312" w:cs="仿宋_GB2312"/>
          <w:sz w:val="32"/>
          <w:szCs w:val="32"/>
        </w:rPr>
        <w:t>毕业生</w:t>
      </w:r>
      <w:r>
        <w:rPr>
          <w:rFonts w:hint="eastAsia" w:ascii="仿宋_GB2312" w:hAnsi="仿宋_GB2312" w:eastAsia="仿宋_GB2312" w:cs="仿宋_GB2312"/>
          <w:sz w:val="32"/>
          <w:szCs w:val="32"/>
          <w:lang w:eastAsia="zh-CN"/>
        </w:rPr>
        <w:t>提供：毕业生</w:t>
      </w:r>
      <w:r>
        <w:rPr>
          <w:rFonts w:hint="eastAsia" w:ascii="仿宋_GB2312" w:hAnsi="仿宋_GB2312" w:eastAsia="仿宋_GB2312" w:cs="仿宋_GB2312"/>
          <w:sz w:val="32"/>
          <w:szCs w:val="32"/>
        </w:rPr>
        <w:t>就业推荐表复印件、在校期间成绩单复印件</w:t>
      </w:r>
      <w:r>
        <w:rPr>
          <w:rFonts w:hint="eastAsia" w:ascii="仿宋_GB2312" w:hAnsi="仿宋_GB2312" w:eastAsia="仿宋_GB2312" w:cs="仿宋_GB2312"/>
          <w:sz w:val="32"/>
          <w:szCs w:val="32"/>
          <w:lang w:eastAsia="zh-CN"/>
        </w:rPr>
        <w:t>；</w:t>
      </w:r>
    </w:p>
    <w:p>
      <w:pPr>
        <w:spacing w:line="360" w:lineRule="auto"/>
        <w:ind w:firstLine="640" w:firstLineChars="200"/>
        <w:rPr>
          <w:rFonts w:ascii="仿宋" w:eastAsia="仿宋"/>
          <w:sz w:val="32"/>
          <w:szCs w:val="32"/>
        </w:rPr>
      </w:pPr>
      <w:r>
        <w:rPr>
          <w:rFonts w:hint="eastAsia" w:ascii="仿宋_GB2312" w:hAnsi="仿宋_GB2312" w:eastAsia="仿宋_GB2312" w:cs="仿宋_GB2312"/>
          <w:sz w:val="32"/>
          <w:szCs w:val="32"/>
          <w:lang w:val="en-US" w:eastAsia="zh-CN"/>
        </w:rPr>
        <w:t>4、</w:t>
      </w:r>
      <w:bookmarkStart w:id="59" w:name="_GoBack"/>
      <w:bookmarkEnd w:id="59"/>
      <w:r>
        <w:rPr>
          <w:rFonts w:hint="eastAsia" w:ascii="仿宋" w:eastAsia="仿宋"/>
          <w:sz w:val="32"/>
          <w:szCs w:val="32"/>
        </w:rPr>
        <w:t>符合加分优惠政策的证明材料。</w:t>
      </w:r>
    </w:p>
    <w:p>
      <w:pPr>
        <w:spacing w:line="360" w:lineRule="auto"/>
        <w:ind w:firstLine="640" w:firstLineChars="200"/>
        <w:rPr>
          <w:rFonts w:ascii="仿宋" w:eastAsia="仿宋"/>
          <w:sz w:val="32"/>
          <w:szCs w:val="32"/>
        </w:rPr>
      </w:pPr>
      <w:r>
        <w:rPr>
          <w:rFonts w:ascii="仿宋" w:eastAsia="仿宋"/>
          <w:sz w:val="32"/>
          <w:szCs w:val="32"/>
        </w:rPr>
        <w:t>提交材料不完整，</w:t>
      </w:r>
      <w:r>
        <w:rPr>
          <w:rFonts w:hint="eastAsia" w:ascii="仿宋" w:eastAsia="仿宋"/>
          <w:sz w:val="32"/>
          <w:szCs w:val="32"/>
        </w:rPr>
        <w:t>视为报名不成功。</w:t>
      </w:r>
    </w:p>
    <w:p>
      <w:pPr>
        <w:ind w:firstLine="642" w:firstLineChars="200"/>
        <w:outlineLvl w:val="1"/>
        <w:rPr>
          <w:rFonts w:hint="eastAsia" w:ascii="楷体" w:hAnsi="楷体" w:eastAsia="楷体"/>
          <w:b/>
          <w:color w:val="auto"/>
          <w:sz w:val="32"/>
          <w:szCs w:val="32"/>
          <w:highlight w:val="none"/>
          <w:lang w:eastAsia="zh-CN"/>
        </w:rPr>
      </w:pPr>
      <w:bookmarkStart w:id="5" w:name="_Toc15120"/>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0"/>
        </w:numPr>
        <w:ind w:firstLine="642" w:firstLineChars="200"/>
        <w:outlineLvl w:val="1"/>
        <w:rPr>
          <w:rFonts w:hint="eastAsia" w:ascii="楷体" w:hAnsi="楷体" w:eastAsia="楷体"/>
          <w:b/>
          <w:color w:val="auto"/>
          <w:sz w:val="32"/>
          <w:szCs w:val="32"/>
          <w:highlight w:val="none"/>
          <w:lang w:eastAsia="zh-CN"/>
        </w:rPr>
      </w:pPr>
      <w:bookmarkStart w:id="6" w:name="_Toc28663"/>
      <w:r>
        <w:rPr>
          <w:rFonts w:hint="eastAsia" w:ascii="楷体" w:hAnsi="楷体" w:eastAsia="楷体"/>
          <w:b/>
          <w:color w:val="auto"/>
          <w:sz w:val="32"/>
          <w:szCs w:val="32"/>
          <w:highlight w:val="none"/>
          <w:lang w:eastAsia="zh-CN"/>
        </w:rPr>
        <w:t>（五）个人简历</w:t>
      </w:r>
      <w:bookmarkEnd w:id="6"/>
    </w:p>
    <w:p>
      <w:pPr>
        <w:ind w:firstLine="640" w:firstLineChars="200"/>
        <w:rPr>
          <w:rFonts w:ascii="仿宋" w:eastAsia="仿宋"/>
          <w:sz w:val="32"/>
          <w:szCs w:val="32"/>
        </w:rPr>
      </w:pPr>
      <w:r>
        <w:rPr>
          <w:rFonts w:hint="eastAsia" w:ascii="仿宋" w:eastAsia="仿宋"/>
          <w:sz w:val="32"/>
          <w:szCs w:val="32"/>
        </w:rPr>
        <w:t>应如实反映各阶段的就学、就业、待业等状态，期间不能中断，原则上应从高中起填写。</w:t>
      </w:r>
    </w:p>
    <w:p>
      <w:pPr>
        <w:spacing w:line="360" w:lineRule="auto"/>
        <w:ind w:firstLine="640" w:firstLineChars="200"/>
        <w:rPr>
          <w:rFonts w:ascii="仿宋" w:eastAsia="仿宋"/>
          <w:sz w:val="32"/>
          <w:szCs w:val="32"/>
        </w:rPr>
      </w:pPr>
      <w:r>
        <w:rPr>
          <w:rFonts w:hint="eastAsia" w:ascii="仿宋" w:eastAsia="仿宋"/>
          <w:sz w:val="32"/>
          <w:szCs w:val="32"/>
        </w:rPr>
        <w:t>在机关事业单位工作的，须注明单位性质（机关、参公单位、非参公事业单位）和本人身份（公务员、参公事业编制人员、非参公事业编制人员、编外人员）。</w:t>
      </w:r>
    </w:p>
    <w:p>
      <w:pPr>
        <w:spacing w:line="360" w:lineRule="auto"/>
        <w:ind w:firstLine="640" w:firstLineChars="200"/>
        <w:rPr>
          <w:rFonts w:ascii="仿宋" w:eastAsia="仿宋"/>
          <w:sz w:val="32"/>
          <w:szCs w:val="32"/>
        </w:rPr>
      </w:pPr>
      <w:r>
        <w:rPr>
          <w:rFonts w:hint="eastAsia" w:ascii="仿宋" w:eastAsia="仿宋"/>
          <w:sz w:val="32"/>
          <w:szCs w:val="32"/>
        </w:rPr>
        <w:t>部队、武警相关单位工作人员须注明“现役人员”还是“非现役文职人员”，或者“合同制职员”等。</w:t>
      </w:r>
    </w:p>
    <w:p>
      <w:pPr>
        <w:spacing w:line="360" w:lineRule="auto"/>
        <w:ind w:firstLine="640" w:firstLineChars="200"/>
        <w:rPr>
          <w:rFonts w:ascii="仿宋" w:eastAsia="仿宋"/>
          <w:sz w:val="32"/>
          <w:szCs w:val="32"/>
        </w:rPr>
      </w:pPr>
      <w:r>
        <w:rPr>
          <w:rFonts w:hint="eastAsia" w:ascii="仿宋" w:eastAsia="仿宋"/>
          <w:sz w:val="32"/>
          <w:szCs w:val="32"/>
        </w:rPr>
        <w:t>在读人员须注明教育类别是“在职教育”还是“全日制普教”。</w:t>
      </w:r>
    </w:p>
    <w:p>
      <w:pPr>
        <w:ind w:firstLine="642" w:firstLineChars="200"/>
        <w:outlineLvl w:val="1"/>
        <w:rPr>
          <w:rFonts w:hint="eastAsia" w:ascii="楷体" w:hAnsi="楷体" w:eastAsia="楷体"/>
          <w:b/>
          <w:color w:val="auto"/>
          <w:sz w:val="32"/>
          <w:szCs w:val="32"/>
          <w:highlight w:val="none"/>
          <w:lang w:eastAsia="zh-CN"/>
        </w:rPr>
      </w:pPr>
      <w:bookmarkStart w:id="7" w:name="_Toc16265"/>
      <w:r>
        <w:rPr>
          <w:rFonts w:hint="eastAsia" w:ascii="楷体" w:hAnsi="楷体" w:eastAsia="楷体"/>
          <w:b/>
          <w:color w:val="auto"/>
          <w:sz w:val="32"/>
          <w:szCs w:val="32"/>
          <w:highlight w:val="none"/>
          <w:lang w:eastAsia="zh-CN"/>
        </w:rPr>
        <w:t>（六）应届毕业生</w:t>
      </w:r>
      <w:bookmarkEnd w:id="7"/>
      <w:r>
        <w:rPr>
          <w:rFonts w:hint="eastAsia" w:ascii="楷体" w:hAnsi="楷体" w:eastAsia="楷体"/>
          <w:b/>
          <w:color w:val="auto"/>
          <w:sz w:val="32"/>
          <w:szCs w:val="32"/>
          <w:highlight w:val="none"/>
          <w:lang w:eastAsia="zh-CN"/>
        </w:rPr>
        <w:t>定义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color w:val="auto"/>
          <w:sz w:val="32"/>
          <w:szCs w:val="32"/>
          <w:highlight w:val="none"/>
          <w:lang w:val="en-US" w:eastAsia="zh-CN"/>
        </w:rPr>
        <w:t>（1）2023届毕业生</w:t>
      </w:r>
      <w:r>
        <w:rPr>
          <w:rFonts w:hint="eastAsia" w:ascii="仿宋_GB2312" w:eastAsia="仿宋_GB2312"/>
          <w:strike w:val="0"/>
          <w:dstrike w:val="0"/>
          <w:color w:val="auto"/>
          <w:sz w:val="32"/>
          <w:szCs w:val="32"/>
          <w:highlight w:val="none"/>
          <w:lang w:val="en-US" w:eastAsia="zh-CN"/>
        </w:rPr>
        <w:t>。通过参加全国统一的普通高等学校招生考试达到录取要求入学或国家承认的其他方式入学、经省级招办批准录取，入学时将档案关系转到就读学校，并于2023年1月1日至2023年12月31日取得普通高等学校（教育）学历、学位证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auto"/>
          <w:sz w:val="32"/>
          <w:szCs w:val="32"/>
          <w:highlight w:val="none"/>
          <w:lang w:val="en-US" w:eastAsia="zh-CN"/>
        </w:rPr>
        <w:t>（2）持国（境）外学历报考者按第（1）点类推界定，取得国（境）外学历学位报考人员的毕业时间界定，</w:t>
      </w:r>
      <w:r>
        <w:rPr>
          <w:rFonts w:hint="eastAsia" w:ascii="仿宋_GB2312" w:eastAsia="仿宋_GB2312"/>
          <w:color w:val="000000" w:themeColor="text1"/>
          <w:sz w:val="32"/>
          <w:szCs w:val="32"/>
          <w:highlight w:val="none"/>
          <w:lang w:val="en-US" w:eastAsia="zh-CN"/>
          <w14:textFill>
            <w14:solidFill>
              <w14:schemeClr w14:val="tx1"/>
            </w14:solidFill>
          </w14:textFill>
        </w:rPr>
        <w:t>以“五、学历（位）认定”第（二）条“国（境）外学历（位）”所述材料确定的学历（位）获得时间为准。</w:t>
      </w:r>
    </w:p>
    <w:p>
      <w:pPr>
        <w:numPr>
          <w:ilvl w:val="0"/>
          <w:numId w:val="3"/>
        </w:numPr>
        <w:ind w:firstLine="640" w:firstLineChars="200"/>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参加服务基层项目前无工作经历、服务期满考核合格后未享受优惠政策进入机关事业单位、期满考核合格2年内（指2021年后期满）的高校毕业生。“参加基层服务项目”的界定见“八、笔试加分”第（二）条第1款“1.服务基层项目高校毕业人员”。</w:t>
      </w:r>
    </w:p>
    <w:p>
      <w:pPr>
        <w:ind w:firstLine="642" w:firstLineChars="200"/>
        <w:outlineLvl w:val="1"/>
        <w:rPr>
          <w:rFonts w:ascii="楷体" w:hAnsi="楷体" w:eastAsia="楷体"/>
          <w:b/>
          <w:color w:val="auto"/>
          <w:sz w:val="32"/>
          <w:szCs w:val="32"/>
          <w:highlight w:val="none"/>
        </w:rPr>
      </w:pPr>
      <w:bookmarkStart w:id="8" w:name="_Toc8368"/>
      <w:r>
        <w:rPr>
          <w:rFonts w:hint="eastAsia" w:ascii="楷体" w:hAnsi="楷体" w:eastAsia="楷体"/>
          <w:b/>
          <w:color w:val="auto"/>
          <w:sz w:val="32"/>
          <w:szCs w:val="32"/>
          <w:highlight w:val="none"/>
          <w:lang w:eastAsia="zh-CN"/>
        </w:rPr>
        <w:t>（七）</w:t>
      </w:r>
      <w:r>
        <w:rPr>
          <w:rFonts w:hint="eastAsia" w:ascii="楷体" w:hAnsi="楷体" w:eastAsia="楷体"/>
          <w:b/>
          <w:color w:val="auto"/>
          <w:sz w:val="32"/>
          <w:szCs w:val="32"/>
          <w:highlight w:val="none"/>
        </w:rPr>
        <w:t>回避情形</w:t>
      </w:r>
      <w:bookmarkEnd w:id="8"/>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firstLine="642" w:firstLineChars="200"/>
        <w:outlineLvl w:val="0"/>
        <w:rPr>
          <w:rFonts w:hint="eastAsia" w:ascii="黑体" w:hAnsi="黑体" w:eastAsia="黑体"/>
          <w:b/>
          <w:bCs/>
          <w:color w:val="auto"/>
          <w:sz w:val="32"/>
          <w:szCs w:val="32"/>
          <w:highlight w:val="none"/>
          <w:lang w:eastAsia="zh-CN"/>
        </w:rPr>
      </w:pPr>
      <w:bookmarkStart w:id="9" w:name="_Toc3215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9"/>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报名截止当月，即2023年2月</w:t>
      </w:r>
      <w:r>
        <w:rPr>
          <w:rFonts w:hint="eastAsia" w:ascii="仿宋_GB2312" w:eastAsia="仿宋_GB2312"/>
          <w:color w:val="auto"/>
          <w:sz w:val="32"/>
          <w:szCs w:val="32"/>
          <w:highlight w:val="none"/>
          <w:u w:val="none"/>
          <w:lang w:eastAsia="zh-CN"/>
        </w:rPr>
        <w:t>。</w:t>
      </w:r>
    </w:p>
    <w:p>
      <w:pPr>
        <w:numPr>
          <w:ilvl w:val="0"/>
          <w:numId w:val="5"/>
        </w:numPr>
        <w:ind w:firstLine="642" w:firstLineChars="200"/>
        <w:outlineLvl w:val="1"/>
        <w:rPr>
          <w:rFonts w:hint="eastAsia" w:ascii="楷体" w:hAnsi="楷体" w:eastAsia="楷体" w:cs="楷体"/>
          <w:b/>
          <w:bCs/>
          <w:color w:val="auto"/>
          <w:sz w:val="32"/>
          <w:szCs w:val="32"/>
          <w:highlight w:val="none"/>
        </w:rPr>
      </w:pPr>
      <w:bookmarkStart w:id="10" w:name="_Toc22003"/>
      <w:r>
        <w:rPr>
          <w:rFonts w:hint="eastAsia" w:ascii="楷体" w:hAnsi="楷体" w:eastAsia="楷体" w:cs="楷体"/>
          <w:b/>
          <w:bCs/>
          <w:color w:val="auto"/>
          <w:sz w:val="32"/>
          <w:szCs w:val="32"/>
          <w:highlight w:val="none"/>
        </w:rPr>
        <w:t>年龄</w:t>
      </w:r>
      <w:bookmarkEnd w:id="10"/>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最高年龄要求35周岁是指已满18周岁以上、未满36周岁，具体计算到月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在1987</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2005年2月期间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5"/>
        </w:numPr>
        <w:ind w:firstLine="642" w:firstLineChars="200"/>
        <w:outlineLvl w:val="1"/>
        <w:rPr>
          <w:rFonts w:hint="eastAsia" w:ascii="楷体" w:hAnsi="楷体" w:eastAsia="楷体" w:cs="楷体"/>
          <w:b/>
          <w:bCs/>
          <w:color w:val="auto"/>
          <w:sz w:val="32"/>
          <w:szCs w:val="32"/>
          <w:highlight w:val="none"/>
        </w:rPr>
      </w:pPr>
      <w:bookmarkStart w:id="11" w:name="_Toc28438"/>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1"/>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2" w:firstLineChars="200"/>
        <w:outlineLvl w:val="0"/>
        <w:rPr>
          <w:rFonts w:hint="eastAsia" w:ascii="黑体" w:hAnsi="黑体" w:eastAsia="黑体"/>
          <w:b/>
          <w:bCs/>
          <w:color w:val="auto"/>
          <w:sz w:val="32"/>
          <w:szCs w:val="32"/>
          <w:highlight w:val="none"/>
        </w:rPr>
      </w:pPr>
      <w:bookmarkStart w:id="12" w:name="_Toc11977"/>
      <w:r>
        <w:rPr>
          <w:rFonts w:hint="eastAsia" w:ascii="黑体" w:hAnsi="黑体" w:eastAsia="黑体"/>
          <w:b/>
          <w:bCs/>
          <w:color w:val="auto"/>
          <w:sz w:val="32"/>
          <w:szCs w:val="32"/>
          <w:highlight w:val="none"/>
        </w:rPr>
        <w:t>学历（位）认定</w:t>
      </w:r>
      <w:bookmarkEnd w:id="12"/>
    </w:p>
    <w:p>
      <w:pPr>
        <w:ind w:firstLine="642" w:firstLineChars="200"/>
        <w:outlineLvl w:val="1"/>
        <w:rPr>
          <w:rFonts w:hint="eastAsia" w:ascii="楷体" w:hAnsi="楷体" w:eastAsia="楷体"/>
          <w:b/>
          <w:color w:val="auto"/>
          <w:sz w:val="32"/>
          <w:szCs w:val="32"/>
          <w:highlight w:val="none"/>
          <w:u w:val="none"/>
          <w:lang w:eastAsia="zh-CN"/>
        </w:rPr>
      </w:pPr>
      <w:bookmarkStart w:id="13" w:name="_Toc14664"/>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3"/>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2" w:firstLineChars="200"/>
        <w:outlineLvl w:val="1"/>
        <w:rPr>
          <w:rFonts w:hint="eastAsia" w:ascii="楷体" w:hAnsi="楷体" w:eastAsia="楷体"/>
          <w:b/>
          <w:color w:val="auto"/>
          <w:sz w:val="32"/>
          <w:szCs w:val="32"/>
          <w:highlight w:val="none"/>
          <w:u w:val="none"/>
        </w:rPr>
      </w:pPr>
      <w:bookmarkStart w:id="14" w:name="_Toc15417"/>
      <w:r>
        <w:rPr>
          <w:rFonts w:hint="eastAsia" w:ascii="楷体" w:hAnsi="楷体" w:eastAsia="楷体"/>
          <w:b/>
          <w:color w:val="auto"/>
          <w:sz w:val="32"/>
          <w:szCs w:val="32"/>
          <w:highlight w:val="none"/>
          <w:u w:val="none"/>
        </w:rPr>
        <w:t>（二）</w:t>
      </w:r>
      <w:r>
        <w:rPr>
          <w:rFonts w:hint="eastAsia" w:ascii="楷体" w:hAnsi="楷体" w:eastAsia="楷体"/>
          <w:b/>
          <w:color w:val="auto"/>
          <w:sz w:val="32"/>
          <w:szCs w:val="32"/>
          <w:highlight w:val="none"/>
          <w:u w:val="none"/>
          <w:lang w:eastAsia="zh-CN"/>
        </w:rPr>
        <w:t>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4"/>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2" w:firstLineChars="200"/>
        <w:outlineLvl w:val="1"/>
        <w:rPr>
          <w:rFonts w:hint="eastAsia" w:ascii="楷体" w:hAnsi="楷体" w:eastAsia="楷体"/>
          <w:b/>
          <w:color w:val="auto"/>
          <w:sz w:val="32"/>
          <w:szCs w:val="32"/>
          <w:highlight w:val="none"/>
          <w:u w:val="none"/>
        </w:rPr>
      </w:pPr>
      <w:bookmarkStart w:id="15" w:name="_Toc3722"/>
      <w:r>
        <w:rPr>
          <w:rFonts w:hint="eastAsia" w:ascii="楷体" w:hAnsi="楷体" w:eastAsia="楷体"/>
          <w:b/>
          <w:color w:val="auto"/>
          <w:sz w:val="32"/>
          <w:szCs w:val="32"/>
          <w:highlight w:val="none"/>
          <w:u w:val="none"/>
        </w:rPr>
        <w:t>（三）我省“双学位”“双专业”学历</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2" w:firstLineChars="200"/>
        <w:outlineLvl w:val="1"/>
        <w:rPr>
          <w:rFonts w:hint="eastAsia" w:ascii="楷体" w:hAnsi="楷体" w:eastAsia="楷体"/>
          <w:b/>
          <w:color w:val="auto"/>
          <w:sz w:val="32"/>
          <w:szCs w:val="32"/>
          <w:highlight w:val="none"/>
          <w:u w:val="none"/>
          <w:lang w:eastAsia="zh-CN"/>
        </w:rPr>
      </w:pPr>
      <w:bookmarkStart w:id="16" w:name="_Toc32469"/>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1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3</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4"/>
        </w:numPr>
        <w:ind w:firstLine="642" w:firstLineChars="200"/>
        <w:outlineLvl w:val="0"/>
        <w:rPr>
          <w:rFonts w:hint="eastAsia" w:ascii="黑体" w:hAnsi="黑体" w:eastAsia="黑体"/>
          <w:b/>
          <w:bCs/>
          <w:color w:val="auto"/>
          <w:sz w:val="32"/>
          <w:szCs w:val="32"/>
          <w:highlight w:val="none"/>
        </w:rPr>
      </w:pPr>
      <w:bookmarkStart w:id="17" w:name="_Toc20015"/>
      <w:r>
        <w:rPr>
          <w:rFonts w:hint="eastAsia" w:ascii="黑体" w:hAnsi="黑体" w:eastAsia="黑体"/>
          <w:b/>
          <w:bCs/>
          <w:color w:val="auto"/>
          <w:sz w:val="32"/>
          <w:szCs w:val="32"/>
          <w:highlight w:val="none"/>
        </w:rPr>
        <w:t>专业</w:t>
      </w:r>
      <w:bookmarkEnd w:id="17"/>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2" w:firstLineChars="200"/>
        <w:outlineLvl w:val="1"/>
        <w:rPr>
          <w:rFonts w:ascii="楷体" w:hAnsi="楷体" w:eastAsia="楷体"/>
          <w:b/>
          <w:color w:val="auto"/>
          <w:sz w:val="32"/>
          <w:szCs w:val="32"/>
          <w:highlight w:val="none"/>
        </w:rPr>
      </w:pPr>
      <w:bookmarkStart w:id="18" w:name="_Toc15777"/>
      <w:r>
        <w:rPr>
          <w:rFonts w:hint="eastAsia" w:ascii="楷体" w:hAnsi="楷体" w:eastAsia="楷体"/>
          <w:b/>
          <w:color w:val="auto"/>
          <w:sz w:val="32"/>
          <w:szCs w:val="32"/>
          <w:highlight w:val="none"/>
        </w:rPr>
        <w:t>（一）填报专业名称</w:t>
      </w:r>
      <w:bookmarkEnd w:id="18"/>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2" w:firstLineChars="200"/>
        <w:outlineLvl w:val="1"/>
        <w:rPr>
          <w:rFonts w:ascii="楷体" w:hAnsi="楷体" w:eastAsia="楷体"/>
          <w:b/>
          <w:color w:val="auto"/>
          <w:sz w:val="32"/>
          <w:szCs w:val="32"/>
          <w:highlight w:val="none"/>
        </w:rPr>
      </w:pPr>
      <w:bookmarkStart w:id="19" w:name="_Toc23604"/>
      <w:r>
        <w:rPr>
          <w:rFonts w:hint="eastAsia" w:ascii="楷体" w:hAnsi="楷体" w:eastAsia="楷体"/>
          <w:b/>
          <w:color w:val="auto"/>
          <w:sz w:val="32"/>
          <w:szCs w:val="32"/>
          <w:highlight w:val="none"/>
        </w:rPr>
        <w:t>（二）专业与学历（位）的对应关系</w:t>
      </w:r>
      <w:bookmarkEnd w:id="19"/>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2" w:firstLineChars="200"/>
        <w:outlineLvl w:val="1"/>
        <w:rPr>
          <w:rFonts w:ascii="楷体" w:hAnsi="楷体" w:eastAsia="楷体"/>
          <w:b/>
          <w:color w:val="auto"/>
          <w:sz w:val="32"/>
          <w:szCs w:val="32"/>
          <w:highlight w:val="none"/>
        </w:rPr>
      </w:pPr>
      <w:bookmarkStart w:id="20" w:name="_Toc26996"/>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监督机构</w:t>
      </w:r>
      <w:r>
        <w:rPr>
          <w:rFonts w:hint="eastAsia" w:ascii="仿宋_GB2312" w:eastAsia="仿宋_GB2312"/>
          <w:color w:val="auto"/>
          <w:sz w:val="32"/>
          <w:szCs w:val="32"/>
          <w:highlight w:val="none"/>
        </w:rPr>
        <w:t>的申诉通道提出申诉。</w:t>
      </w:r>
    </w:p>
    <w:p>
      <w:pPr>
        <w:numPr>
          <w:ilvl w:val="0"/>
          <w:numId w:val="4"/>
        </w:numPr>
        <w:ind w:firstLine="642" w:firstLineChars="200"/>
        <w:outlineLvl w:val="0"/>
        <w:rPr>
          <w:rFonts w:hint="eastAsia" w:ascii="黑体" w:hAnsi="黑体" w:eastAsia="黑体"/>
          <w:b/>
          <w:bCs/>
          <w:color w:val="auto"/>
          <w:sz w:val="32"/>
          <w:szCs w:val="32"/>
          <w:highlight w:val="none"/>
          <w:lang w:val="en-US" w:eastAsia="zh-CN"/>
        </w:rPr>
      </w:pPr>
      <w:bookmarkStart w:id="21" w:name="_Toc20102"/>
      <w:r>
        <w:rPr>
          <w:rFonts w:hint="eastAsia" w:ascii="黑体" w:hAnsi="黑体" w:eastAsia="黑体"/>
          <w:b/>
          <w:bCs/>
          <w:color w:val="auto"/>
          <w:sz w:val="32"/>
          <w:szCs w:val="32"/>
          <w:highlight w:val="none"/>
          <w:lang w:eastAsia="zh-CN"/>
        </w:rPr>
        <w:t>岗位开考比例</w:t>
      </w:r>
      <w:bookmarkEnd w:id="2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按要求</w:t>
      </w:r>
      <w:r>
        <w:rPr>
          <w:rFonts w:hint="eastAsia" w:ascii="仿宋_GB2312" w:eastAsia="仿宋_GB2312"/>
          <w:color w:val="auto"/>
          <w:sz w:val="32"/>
          <w:szCs w:val="32"/>
          <w:highlight w:val="none"/>
        </w:rPr>
        <w:t>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w:t>
      </w:r>
      <w:r>
        <w:rPr>
          <w:rFonts w:hint="eastAsia" w:ascii="仿宋" w:eastAsia="仿宋"/>
          <w:sz w:val="32"/>
          <w:szCs w:val="32"/>
        </w:rPr>
        <w:t>报厦门市人力资源和社会保障局（以下简称市人社局）同意后，另行公告。</w:t>
      </w:r>
    </w:p>
    <w:p>
      <w:pPr>
        <w:numPr>
          <w:ilvl w:val="0"/>
          <w:numId w:val="4"/>
        </w:numPr>
        <w:ind w:firstLine="642" w:firstLineChars="200"/>
        <w:outlineLvl w:val="0"/>
        <w:rPr>
          <w:rFonts w:hint="eastAsia" w:ascii="黑体" w:hAnsi="黑体" w:eastAsia="黑体"/>
          <w:b/>
          <w:bCs/>
          <w:color w:val="auto"/>
          <w:sz w:val="32"/>
          <w:szCs w:val="32"/>
          <w:highlight w:val="none"/>
        </w:rPr>
      </w:pPr>
      <w:bookmarkStart w:id="22" w:name="_Toc15326"/>
      <w:r>
        <w:rPr>
          <w:rFonts w:hint="eastAsia" w:ascii="黑体" w:hAnsi="黑体" w:eastAsia="黑体"/>
          <w:b/>
          <w:bCs/>
          <w:color w:val="auto"/>
          <w:sz w:val="32"/>
          <w:szCs w:val="32"/>
          <w:highlight w:val="none"/>
        </w:rPr>
        <w:t>笔试加分</w:t>
      </w:r>
      <w:bookmarkEnd w:id="22"/>
    </w:p>
    <w:p>
      <w:pPr>
        <w:ind w:firstLine="642" w:firstLineChars="200"/>
        <w:outlineLvl w:val="1"/>
        <w:rPr>
          <w:rFonts w:hint="eastAsia" w:ascii="楷体" w:hAnsi="楷体" w:eastAsia="楷体" w:cs="楷体"/>
          <w:b/>
          <w:bCs/>
          <w:color w:val="auto"/>
          <w:sz w:val="32"/>
          <w:szCs w:val="32"/>
          <w:highlight w:val="none"/>
          <w:lang w:eastAsia="zh-CN"/>
        </w:rPr>
      </w:pPr>
      <w:bookmarkStart w:id="23" w:name="_Toc15515"/>
      <w:r>
        <w:rPr>
          <w:rFonts w:hint="eastAsia" w:ascii="楷体" w:hAnsi="楷体" w:eastAsia="楷体" w:cs="楷体"/>
          <w:b/>
          <w:bCs/>
          <w:color w:val="auto"/>
          <w:sz w:val="32"/>
          <w:szCs w:val="32"/>
          <w:highlight w:val="none"/>
          <w:lang w:eastAsia="zh-CN"/>
        </w:rPr>
        <w:t>（一）加分原则</w:t>
      </w:r>
      <w:bookmarkEnd w:id="2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ind w:firstLine="642" w:firstLineChars="200"/>
        <w:outlineLvl w:val="1"/>
        <w:rPr>
          <w:rFonts w:hint="eastAsia" w:ascii="楷体" w:hAnsi="楷体" w:eastAsia="楷体" w:cs="楷体"/>
          <w:b/>
          <w:bCs/>
          <w:color w:val="auto"/>
          <w:sz w:val="32"/>
          <w:szCs w:val="32"/>
          <w:highlight w:val="none"/>
          <w:lang w:eastAsia="zh-CN"/>
        </w:rPr>
      </w:pPr>
      <w:bookmarkStart w:id="24" w:name="_Toc11331"/>
      <w:r>
        <w:rPr>
          <w:rFonts w:hint="eastAsia" w:ascii="楷体" w:hAnsi="楷体" w:eastAsia="楷体" w:cs="楷体"/>
          <w:b/>
          <w:bCs/>
          <w:color w:val="auto"/>
          <w:sz w:val="32"/>
          <w:szCs w:val="32"/>
          <w:highlight w:val="none"/>
          <w:lang w:eastAsia="zh-CN"/>
        </w:rPr>
        <w:t>（二）加分对象</w:t>
      </w:r>
      <w:bookmarkEnd w:id="24"/>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eastAsia="zh-CN"/>
        </w:rPr>
      </w:pPr>
      <w:bookmarkStart w:id="25" w:name="_Toc13976"/>
      <w:bookmarkStart w:id="26" w:name="_Toc9098"/>
      <w:bookmarkStart w:id="27" w:name="_Toc15632"/>
      <w:bookmarkStart w:id="28" w:name="_Toc17898"/>
      <w:bookmarkStart w:id="29" w:name="_Toc25371"/>
      <w:bookmarkStart w:id="30"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25"/>
      <w:bookmarkEnd w:id="26"/>
      <w:bookmarkEnd w:id="27"/>
      <w:bookmarkEnd w:id="28"/>
      <w:bookmarkEnd w:id="29"/>
      <w:bookmarkEnd w:id="30"/>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1" w:name="_Toc1747"/>
      <w:bookmarkStart w:id="32" w:name="_Toc22049"/>
      <w:bookmarkStart w:id="33" w:name="_Toc12368"/>
      <w:bookmarkStart w:id="34" w:name="_Toc23253"/>
      <w:bookmarkStart w:id="35" w:name="_Toc3463"/>
      <w:bookmarkStart w:id="36" w:name="_Toc24980"/>
      <w:r>
        <w:rPr>
          <w:rFonts w:hint="eastAsia" w:ascii="仿宋_GB2312" w:hAnsi="仿宋_GB2312" w:eastAsia="仿宋_GB2312" w:cs="仿宋_GB2312"/>
          <w:b/>
          <w:bCs/>
          <w:color w:val="auto"/>
          <w:sz w:val="32"/>
          <w:szCs w:val="32"/>
          <w:highlight w:val="none"/>
          <w:lang w:val="en-US" w:eastAsia="zh-CN"/>
        </w:rPr>
        <w:t>2.退役士兵（含大学生退役士兵）</w:t>
      </w:r>
      <w:bookmarkEnd w:id="31"/>
      <w:bookmarkEnd w:id="32"/>
      <w:bookmarkEnd w:id="33"/>
      <w:bookmarkEnd w:id="34"/>
      <w:bookmarkEnd w:id="35"/>
      <w:bookmarkEnd w:id="3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7" w:name="_Toc15434"/>
      <w:bookmarkStart w:id="38" w:name="_Toc5502"/>
      <w:bookmarkStart w:id="39" w:name="_Toc31915"/>
      <w:bookmarkStart w:id="40" w:name="_Toc21973"/>
      <w:r>
        <w:rPr>
          <w:rFonts w:hint="eastAsia" w:ascii="仿宋_GB2312" w:hAnsi="仿宋_GB2312" w:eastAsia="仿宋_GB2312" w:cs="仿宋_GB2312"/>
          <w:b/>
          <w:bCs/>
          <w:color w:val="auto"/>
          <w:sz w:val="32"/>
          <w:szCs w:val="32"/>
          <w:highlight w:val="none"/>
          <w:lang w:val="en-US" w:eastAsia="zh-CN"/>
        </w:rPr>
        <w:t>3.退役优秀运动员</w:t>
      </w:r>
      <w:bookmarkEnd w:id="37"/>
      <w:bookmarkEnd w:id="38"/>
      <w:bookmarkEnd w:id="39"/>
      <w:bookmarkEnd w:id="4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2" w:firstLineChars="200"/>
        <w:outlineLvl w:val="1"/>
        <w:rPr>
          <w:rFonts w:hint="eastAsia" w:ascii="楷体" w:hAnsi="楷体" w:eastAsia="楷体" w:cs="楷体"/>
          <w:b/>
          <w:bCs/>
          <w:color w:val="auto"/>
          <w:sz w:val="32"/>
          <w:szCs w:val="32"/>
          <w:highlight w:val="none"/>
          <w:lang w:eastAsia="zh-CN"/>
        </w:rPr>
      </w:pPr>
      <w:bookmarkStart w:id="41" w:name="_Toc30306"/>
      <w:bookmarkStart w:id="42" w:name="_Toc22910"/>
      <w:r>
        <w:rPr>
          <w:rFonts w:hint="eastAsia" w:ascii="楷体" w:hAnsi="楷体" w:eastAsia="楷体" w:cs="楷体"/>
          <w:b/>
          <w:bCs/>
          <w:color w:val="auto"/>
          <w:sz w:val="32"/>
          <w:szCs w:val="32"/>
          <w:highlight w:val="none"/>
          <w:lang w:eastAsia="zh-CN"/>
        </w:rPr>
        <w:t>（三）加分证明材料</w:t>
      </w:r>
      <w:bookmarkEnd w:id="41"/>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w:t>
      </w:r>
      <w:r>
        <w:rPr>
          <w:rFonts w:hint="eastAsia" w:ascii="仿宋_GB2312" w:eastAsia="仿宋_GB2312"/>
          <w:color w:val="auto"/>
          <w:sz w:val="32"/>
          <w:szCs w:val="32"/>
          <w:highlight w:val="none"/>
          <w:lang w:eastAsia="zh-CN"/>
        </w:rPr>
        <w:t>安置地区级退役军人事务局</w:t>
      </w:r>
      <w:r>
        <w:rPr>
          <w:rFonts w:hint="eastAsia" w:ascii="仿宋_GB2312" w:eastAsia="仿宋_GB2312"/>
          <w:color w:val="auto"/>
          <w:sz w:val="32"/>
          <w:szCs w:val="32"/>
          <w:highlight w:val="none"/>
        </w:rPr>
        <w:t>开具证明；安置在厦门市以外的，可由安置地县级及以上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2" w:firstLineChars="200"/>
        <w:outlineLvl w:val="0"/>
        <w:rPr>
          <w:rFonts w:hint="eastAsia" w:ascii="黑体" w:hAnsi="黑体" w:eastAsia="黑体"/>
          <w:b/>
          <w:bCs/>
          <w:color w:val="auto"/>
          <w:sz w:val="32"/>
          <w:szCs w:val="32"/>
          <w:highlight w:val="none"/>
        </w:rPr>
      </w:pPr>
      <w:bookmarkStart w:id="43" w:name="_Toc24313"/>
      <w:r>
        <w:rPr>
          <w:rFonts w:hint="eastAsia" w:ascii="黑体" w:hAnsi="黑体" w:eastAsia="黑体"/>
          <w:b/>
          <w:bCs/>
          <w:color w:val="auto"/>
          <w:sz w:val="32"/>
          <w:szCs w:val="32"/>
          <w:highlight w:val="none"/>
        </w:rPr>
        <w:t>综合总分计算</w:t>
      </w:r>
      <w:bookmarkEnd w:id="43"/>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2" w:firstLineChars="200"/>
        <w:outlineLvl w:val="0"/>
        <w:rPr>
          <w:rFonts w:hint="eastAsia" w:ascii="黑体" w:hAnsi="黑体" w:eastAsia="黑体"/>
          <w:b/>
          <w:bCs/>
          <w:color w:val="auto"/>
          <w:sz w:val="32"/>
          <w:szCs w:val="32"/>
          <w:highlight w:val="none"/>
        </w:rPr>
      </w:pPr>
      <w:bookmarkStart w:id="44" w:name="_Toc4568"/>
      <w:r>
        <w:rPr>
          <w:rFonts w:hint="eastAsia" w:ascii="黑体" w:hAnsi="黑体" w:eastAsia="黑体"/>
          <w:b/>
          <w:bCs/>
          <w:color w:val="auto"/>
          <w:sz w:val="32"/>
          <w:szCs w:val="32"/>
          <w:highlight w:val="none"/>
        </w:rPr>
        <w:t>体检和考察</w:t>
      </w:r>
      <w:bookmarkEnd w:id="44"/>
    </w:p>
    <w:p>
      <w:pPr>
        <w:ind w:firstLine="642" w:firstLineChars="200"/>
        <w:outlineLvl w:val="1"/>
        <w:rPr>
          <w:rFonts w:ascii="楷体" w:hAnsi="楷体" w:eastAsia="楷体"/>
          <w:b/>
          <w:color w:val="auto"/>
          <w:sz w:val="32"/>
          <w:szCs w:val="32"/>
          <w:highlight w:val="none"/>
        </w:rPr>
      </w:pPr>
      <w:bookmarkStart w:id="45" w:name="_Toc4410"/>
      <w:r>
        <w:rPr>
          <w:rFonts w:hint="eastAsia" w:ascii="楷体" w:hAnsi="楷体" w:eastAsia="楷体"/>
          <w:b/>
          <w:color w:val="auto"/>
          <w:sz w:val="32"/>
          <w:szCs w:val="32"/>
          <w:highlight w:val="none"/>
        </w:rPr>
        <w:t>（一）确定体检人选</w:t>
      </w:r>
      <w:bookmarkEnd w:id="4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从笔试、面试和综合总分均合格者中，根据综合总分排名顺序，按岗位拟招聘人数1:1的比例从高分至低分确定体检人选。</w:t>
      </w:r>
    </w:p>
    <w:p>
      <w:pPr>
        <w:ind w:firstLine="642" w:firstLineChars="200"/>
        <w:outlineLvl w:val="1"/>
        <w:rPr>
          <w:rFonts w:hint="eastAsia" w:ascii="楷体" w:hAnsi="楷体" w:eastAsia="楷体"/>
          <w:b/>
          <w:color w:val="auto"/>
          <w:sz w:val="32"/>
          <w:szCs w:val="32"/>
          <w:highlight w:val="none"/>
          <w:lang w:eastAsia="zh-CN"/>
        </w:rPr>
      </w:pPr>
      <w:bookmarkStart w:id="46" w:name="_Toc25922"/>
      <w:r>
        <w:rPr>
          <w:rFonts w:hint="eastAsia" w:ascii="楷体" w:hAnsi="楷体" w:eastAsia="楷体"/>
          <w:b/>
          <w:color w:val="auto"/>
          <w:sz w:val="32"/>
          <w:szCs w:val="32"/>
          <w:highlight w:val="none"/>
        </w:rPr>
        <w:t>（二）组织体检</w:t>
      </w:r>
      <w:bookmarkEnd w:id="46"/>
    </w:p>
    <w:p>
      <w:pPr>
        <w:ind w:firstLine="640" w:firstLineChars="200"/>
        <w:rPr>
          <w:rFonts w:ascii="仿宋_GB2312" w:eastAsia="仿宋_GB2312"/>
          <w:color w:val="auto"/>
          <w:sz w:val="32"/>
          <w:szCs w:val="32"/>
          <w:highlight w:val="none"/>
        </w:rPr>
      </w:pPr>
      <w:r>
        <w:rPr>
          <w:rFonts w:hint="eastAsia" w:ascii="仿宋" w:eastAsia="仿宋"/>
          <w:sz w:val="32"/>
          <w:szCs w:val="32"/>
        </w:rPr>
        <w:t>体检由招聘单位会同主管部门组织实施。体检人员应根据通知按时参加并配合体检，否则，视为放弃资格。</w:t>
      </w:r>
    </w:p>
    <w:p>
      <w:pPr>
        <w:ind w:firstLine="642" w:firstLineChars="200"/>
        <w:outlineLvl w:val="1"/>
        <w:rPr>
          <w:rFonts w:ascii="楷体" w:hAnsi="楷体" w:eastAsia="楷体"/>
          <w:b/>
          <w:color w:val="auto"/>
          <w:sz w:val="32"/>
          <w:szCs w:val="32"/>
          <w:highlight w:val="none"/>
        </w:rPr>
      </w:pPr>
      <w:bookmarkStart w:id="47" w:name="_Toc25619"/>
      <w:r>
        <w:rPr>
          <w:rFonts w:hint="eastAsia" w:ascii="楷体" w:hAnsi="楷体" w:eastAsia="楷体"/>
          <w:b/>
          <w:color w:val="auto"/>
          <w:sz w:val="32"/>
          <w:szCs w:val="32"/>
          <w:highlight w:val="none"/>
        </w:rPr>
        <w:t>（三）体检依据</w:t>
      </w:r>
      <w:bookmarkEnd w:id="47"/>
    </w:p>
    <w:p>
      <w:pPr>
        <w:spacing w:line="360" w:lineRule="auto"/>
        <w:ind w:firstLine="640" w:firstLineChars="200"/>
        <w:rPr>
          <w:rFonts w:hint="eastAsia" w:ascii="仿宋" w:eastAsia="仿宋"/>
          <w:sz w:val="32"/>
          <w:szCs w:val="32"/>
        </w:rPr>
      </w:pPr>
      <w:r>
        <w:rPr>
          <w:rFonts w:hint="eastAsia" w:ascii="仿宋_GB2312" w:hAnsi="仿宋_GB2312" w:eastAsia="仿宋_GB2312" w:cs="仿宋_GB2312"/>
          <w:kern w:val="0"/>
          <w:sz w:val="32"/>
          <w:szCs w:val="32"/>
          <w:lang w:bidi="ar-SA"/>
        </w:rPr>
        <w:t>本次招聘体检参照</w:t>
      </w:r>
      <w:r>
        <w:rPr>
          <w:rFonts w:hint="eastAsia" w:ascii="仿宋_GB2312" w:hAnsi="仿宋_GB2312" w:eastAsia="仿宋_GB2312" w:cs="仿宋_GB2312"/>
          <w:kern w:val="0"/>
          <w:sz w:val="32"/>
          <w:szCs w:val="32"/>
          <w:lang w:val="en-US" w:eastAsia="zh-CN" w:bidi="ar-SA"/>
        </w:rPr>
        <w:t>GB30035-2021</w:t>
      </w:r>
      <w:r>
        <w:rPr>
          <w:rFonts w:hint="eastAsia" w:ascii="仿宋_GB2312" w:hAnsi="仿宋_GB2312" w:eastAsia="仿宋_GB2312" w:cs="仿宋_GB2312"/>
          <w:kern w:val="0"/>
          <w:sz w:val="32"/>
          <w:szCs w:val="32"/>
          <w:lang w:bidi="ar-SA"/>
        </w:rPr>
        <w:t>《船员健康检查要求》以及《</w:t>
      </w:r>
      <w:r>
        <w:rPr>
          <w:rFonts w:hint="eastAsia" w:ascii="仿宋_GB2312" w:hAnsi="仿宋_GB2312" w:eastAsia="仿宋_GB2312" w:cs="仿宋_GB2312"/>
          <w:kern w:val="0"/>
          <w:sz w:val="32"/>
          <w:szCs w:val="32"/>
          <w:lang w:eastAsia="zh-CN" w:bidi="ar-SA"/>
        </w:rPr>
        <w:t>交通运输部海事局</w:t>
      </w:r>
      <w:r>
        <w:rPr>
          <w:rFonts w:hint="eastAsia" w:ascii="仿宋_GB2312" w:hAnsi="仿宋_GB2312" w:eastAsia="仿宋_GB2312" w:cs="仿宋_GB2312"/>
          <w:kern w:val="0"/>
          <w:sz w:val="32"/>
          <w:szCs w:val="32"/>
          <w:lang w:bidi="ar-SA"/>
        </w:rPr>
        <w:t>关于印发&lt;中华人民共和国海船船员健康</w:t>
      </w:r>
      <w:r>
        <w:rPr>
          <w:rFonts w:hint="eastAsia" w:ascii="仿宋_GB2312" w:hAnsi="仿宋_GB2312" w:eastAsia="仿宋_GB2312" w:cs="仿宋_GB2312"/>
          <w:kern w:val="0"/>
          <w:sz w:val="32"/>
          <w:szCs w:val="32"/>
          <w:lang w:eastAsia="zh-CN" w:bidi="ar-SA"/>
        </w:rPr>
        <w:t>证明</w:t>
      </w:r>
      <w:r>
        <w:rPr>
          <w:rFonts w:hint="eastAsia" w:ascii="仿宋_GB2312" w:hAnsi="仿宋_GB2312" w:eastAsia="仿宋_GB2312" w:cs="仿宋_GB2312"/>
          <w:kern w:val="0"/>
          <w:sz w:val="32"/>
          <w:szCs w:val="32"/>
          <w:lang w:bidi="ar-SA"/>
        </w:rPr>
        <w:t>管理办法&gt;的通知》（海船员[</w:t>
      </w:r>
      <w:r>
        <w:rPr>
          <w:rFonts w:hint="eastAsia" w:ascii="仿宋_GB2312" w:hAnsi="仿宋_GB2312" w:eastAsia="仿宋_GB2312" w:cs="仿宋_GB2312"/>
          <w:kern w:val="0"/>
          <w:sz w:val="32"/>
          <w:szCs w:val="32"/>
          <w:lang w:val="en-US" w:eastAsia="zh-CN" w:bidi="ar-SA"/>
        </w:rPr>
        <w:t>2016</w:t>
      </w:r>
      <w:r>
        <w:rPr>
          <w:rFonts w:hint="eastAsia" w:ascii="仿宋_GB2312" w:hAnsi="仿宋_GB2312" w:eastAsia="仿宋_GB2312" w:cs="仿宋_GB2312"/>
          <w:kern w:val="0"/>
          <w:sz w:val="32"/>
          <w:szCs w:val="32"/>
          <w:lang w:bidi="ar-SA"/>
        </w:rPr>
        <w:t>]</w:t>
      </w:r>
      <w:r>
        <w:rPr>
          <w:rFonts w:hint="eastAsia" w:ascii="仿宋_GB2312" w:hAnsi="仿宋_GB2312" w:eastAsia="仿宋_GB2312" w:cs="仿宋_GB2312"/>
          <w:kern w:val="0"/>
          <w:sz w:val="32"/>
          <w:szCs w:val="32"/>
          <w:lang w:val="en-US" w:eastAsia="zh-CN" w:bidi="ar-SA"/>
        </w:rPr>
        <w:t>521</w:t>
      </w:r>
      <w:r>
        <w:rPr>
          <w:rFonts w:hint="eastAsia" w:ascii="仿宋_GB2312" w:hAnsi="仿宋_GB2312" w:eastAsia="仿宋_GB2312" w:cs="仿宋_GB2312"/>
          <w:kern w:val="0"/>
          <w:sz w:val="32"/>
          <w:szCs w:val="32"/>
          <w:lang w:bidi="ar-SA"/>
        </w:rPr>
        <w:t>号）的规定要求</w:t>
      </w:r>
      <w:r>
        <w:rPr>
          <w:rFonts w:hint="eastAsia" w:ascii="仿宋_GB2312" w:hAnsi="仿宋_GB2312" w:eastAsia="仿宋_GB2312" w:cs="仿宋_GB2312"/>
          <w:kern w:val="0"/>
          <w:sz w:val="32"/>
          <w:szCs w:val="32"/>
          <w:lang w:eastAsia="zh-CN" w:bidi="ar-SA"/>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2" w:firstLineChars="200"/>
        <w:outlineLvl w:val="1"/>
        <w:rPr>
          <w:rFonts w:ascii="楷体" w:hAnsi="楷体" w:eastAsia="楷体"/>
          <w:b/>
          <w:color w:val="auto"/>
          <w:sz w:val="32"/>
          <w:szCs w:val="32"/>
          <w:highlight w:val="none"/>
        </w:rPr>
      </w:pPr>
      <w:bookmarkStart w:id="48" w:name="_Toc25242"/>
      <w:r>
        <w:rPr>
          <w:rFonts w:hint="eastAsia" w:ascii="楷体" w:hAnsi="楷体" w:eastAsia="楷体"/>
          <w:b/>
          <w:color w:val="auto"/>
          <w:sz w:val="32"/>
          <w:szCs w:val="32"/>
          <w:highlight w:val="none"/>
        </w:rPr>
        <w:t>（四）体检复检</w:t>
      </w:r>
      <w:bookmarkEnd w:id="4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2" w:firstLineChars="200"/>
        <w:outlineLvl w:val="1"/>
        <w:rPr>
          <w:rFonts w:hint="eastAsia" w:ascii="楷体" w:hAnsi="楷体" w:eastAsia="楷体"/>
          <w:b/>
          <w:color w:val="auto"/>
          <w:sz w:val="32"/>
          <w:szCs w:val="32"/>
          <w:highlight w:val="none"/>
          <w:lang w:eastAsia="zh-CN"/>
        </w:rPr>
      </w:pPr>
      <w:bookmarkStart w:id="49" w:name="_Toc29445"/>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4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2" w:firstLineChars="200"/>
        <w:outlineLvl w:val="1"/>
        <w:rPr>
          <w:rFonts w:ascii="楷体" w:hAnsi="楷体" w:eastAsia="楷体"/>
          <w:b/>
          <w:color w:val="auto"/>
          <w:sz w:val="32"/>
          <w:szCs w:val="32"/>
          <w:highlight w:val="none"/>
        </w:rPr>
      </w:pPr>
      <w:bookmarkStart w:id="50" w:name="_Toc26353"/>
      <w:r>
        <w:rPr>
          <w:rFonts w:hint="eastAsia" w:ascii="楷体" w:hAnsi="楷体" w:eastAsia="楷体"/>
          <w:b/>
          <w:color w:val="auto"/>
          <w:sz w:val="32"/>
          <w:szCs w:val="32"/>
          <w:highlight w:val="none"/>
        </w:rPr>
        <w:t>（六）考察</w:t>
      </w:r>
      <w:bookmarkEnd w:id="5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firstLine="642" w:firstLineChars="200"/>
        <w:outlineLvl w:val="0"/>
        <w:rPr>
          <w:rFonts w:hint="eastAsia" w:ascii="黑体" w:hAnsi="黑体" w:eastAsia="黑体"/>
          <w:b/>
          <w:bCs/>
          <w:color w:val="auto"/>
          <w:sz w:val="32"/>
          <w:szCs w:val="32"/>
          <w:highlight w:val="none"/>
        </w:rPr>
      </w:pPr>
      <w:bookmarkStart w:id="51" w:name="_Toc18"/>
      <w:r>
        <w:rPr>
          <w:rFonts w:hint="eastAsia" w:ascii="黑体" w:hAnsi="黑体" w:eastAsia="黑体"/>
          <w:b/>
          <w:bCs/>
          <w:color w:val="auto"/>
          <w:sz w:val="32"/>
          <w:szCs w:val="32"/>
          <w:highlight w:val="none"/>
        </w:rPr>
        <w:t>公示</w:t>
      </w:r>
      <w:bookmarkEnd w:id="51"/>
    </w:p>
    <w:p>
      <w:pPr>
        <w:ind w:firstLine="640" w:firstLineChars="200"/>
        <w:rPr>
          <w:rFonts w:ascii="仿宋_GB2312" w:eastAsia="仿宋_GB2312"/>
          <w:color w:val="auto"/>
          <w:sz w:val="32"/>
          <w:szCs w:val="32"/>
          <w:highlight w:val="none"/>
        </w:rPr>
      </w:pPr>
      <w:r>
        <w:rPr>
          <w:rFonts w:hint="eastAsia" w:ascii="仿宋" w:eastAsia="仿宋"/>
          <w:sz w:val="32"/>
          <w:szCs w:val="32"/>
        </w:rPr>
        <w:t>根据岗位要求以及考试、体检、考察结果，确定拟聘用人员名单，并在厦门港口管理局网站公示7个工作日。公示内容包括招聘单位名称、招聘岗位、拟聘人员基本信息等。</w:t>
      </w:r>
    </w:p>
    <w:p>
      <w:pPr>
        <w:numPr>
          <w:ilvl w:val="0"/>
          <w:numId w:val="4"/>
        </w:numPr>
        <w:ind w:firstLine="642" w:firstLineChars="200"/>
        <w:outlineLvl w:val="0"/>
        <w:rPr>
          <w:rFonts w:hint="eastAsia" w:ascii="黑体" w:hAnsi="黑体" w:eastAsia="黑体"/>
          <w:b/>
          <w:bCs/>
          <w:color w:val="auto"/>
          <w:sz w:val="32"/>
          <w:szCs w:val="32"/>
          <w:highlight w:val="none"/>
        </w:rPr>
      </w:pPr>
      <w:bookmarkStart w:id="52" w:name="_Toc26802"/>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2"/>
    </w:p>
    <w:p>
      <w:pPr>
        <w:ind w:firstLine="642" w:firstLineChars="200"/>
        <w:outlineLvl w:val="1"/>
        <w:rPr>
          <w:rFonts w:ascii="楷体" w:hAnsi="楷体" w:eastAsia="楷体"/>
          <w:b/>
          <w:color w:val="auto"/>
          <w:sz w:val="32"/>
          <w:szCs w:val="32"/>
          <w:highlight w:val="none"/>
        </w:rPr>
      </w:pPr>
      <w:bookmarkStart w:id="53" w:name="_Toc6845"/>
      <w:r>
        <w:rPr>
          <w:rFonts w:hint="eastAsia" w:ascii="楷体" w:hAnsi="楷体" w:eastAsia="楷体"/>
          <w:b/>
          <w:color w:val="auto"/>
          <w:sz w:val="32"/>
          <w:szCs w:val="32"/>
          <w:highlight w:val="none"/>
        </w:rPr>
        <w:t>（一）聘用手续办理</w:t>
      </w:r>
      <w:bookmarkEnd w:id="53"/>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2" w:firstLineChars="200"/>
        <w:outlineLvl w:val="1"/>
        <w:rPr>
          <w:rFonts w:ascii="楷体" w:hAnsi="楷体" w:eastAsia="楷体"/>
          <w:b/>
          <w:color w:val="auto"/>
          <w:sz w:val="32"/>
          <w:szCs w:val="32"/>
          <w:highlight w:val="none"/>
        </w:rPr>
      </w:pPr>
      <w:bookmarkStart w:id="54" w:name="_Toc26888"/>
      <w:r>
        <w:rPr>
          <w:rFonts w:hint="eastAsia" w:ascii="楷体" w:hAnsi="楷体" w:eastAsia="楷体"/>
          <w:b/>
          <w:color w:val="auto"/>
          <w:sz w:val="32"/>
          <w:szCs w:val="32"/>
          <w:highlight w:val="none"/>
        </w:rPr>
        <w:t>（二）岗位聘任</w:t>
      </w:r>
      <w:bookmarkEnd w:id="5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2" w:firstLineChars="200"/>
        <w:outlineLvl w:val="0"/>
        <w:rPr>
          <w:rFonts w:ascii="仿宋_GB2312" w:eastAsia="仿宋_GB2312"/>
          <w:b/>
          <w:bCs w:val="0"/>
          <w:color w:val="auto"/>
          <w:sz w:val="32"/>
          <w:szCs w:val="32"/>
          <w:highlight w:val="none"/>
        </w:rPr>
      </w:pPr>
      <w:bookmarkStart w:id="55" w:name="_Toc6228"/>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55"/>
    </w:p>
    <w:p>
      <w:pPr>
        <w:numPr>
          <w:ilvl w:val="0"/>
          <w:numId w:val="6"/>
        </w:numPr>
        <w:ind w:left="0" w:leftChars="0" w:firstLine="420" w:firstLineChars="0"/>
        <w:outlineLvl w:val="1"/>
        <w:rPr>
          <w:rFonts w:ascii="仿宋_GB2312" w:eastAsia="仿宋_GB2312"/>
          <w:b/>
          <w:bCs w:val="0"/>
          <w:color w:val="auto"/>
          <w:sz w:val="32"/>
          <w:szCs w:val="32"/>
          <w:highlight w:val="none"/>
        </w:rPr>
      </w:pPr>
      <w:bookmarkStart w:id="56" w:name="_Toc22325"/>
      <w:r>
        <w:rPr>
          <w:rFonts w:hint="eastAsia" w:ascii="楷体" w:hAnsi="楷体" w:eastAsia="楷体"/>
          <w:b/>
          <w:bCs w:val="0"/>
          <w:color w:val="auto"/>
          <w:sz w:val="32"/>
          <w:szCs w:val="32"/>
          <w:highlight w:val="none"/>
        </w:rPr>
        <w:t>生源</w:t>
      </w:r>
      <w:bookmarkEnd w:id="56"/>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6"/>
        </w:numPr>
        <w:ind w:left="0" w:leftChars="0" w:firstLine="420" w:firstLineChars="0"/>
        <w:outlineLvl w:val="1"/>
        <w:rPr>
          <w:rFonts w:ascii="仿宋_GB2312" w:eastAsia="仿宋_GB2312"/>
          <w:b/>
          <w:bCs w:val="0"/>
          <w:color w:val="auto"/>
          <w:sz w:val="32"/>
          <w:szCs w:val="32"/>
          <w:highlight w:val="none"/>
        </w:rPr>
      </w:pPr>
      <w:bookmarkStart w:id="57" w:name="_Toc18624"/>
      <w:r>
        <w:rPr>
          <w:rFonts w:hint="eastAsia" w:ascii="楷体" w:hAnsi="楷体" w:eastAsia="楷体"/>
          <w:b/>
          <w:bCs w:val="0"/>
          <w:color w:val="auto"/>
          <w:sz w:val="32"/>
          <w:szCs w:val="32"/>
          <w:highlight w:val="none"/>
        </w:rPr>
        <w:t>港澳台人员</w:t>
      </w:r>
      <w:bookmarkEnd w:id="5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6"/>
        </w:numPr>
        <w:ind w:left="0" w:leftChars="0" w:firstLine="420" w:firstLineChars="0"/>
        <w:outlineLvl w:val="1"/>
        <w:rPr>
          <w:rFonts w:ascii="仿宋_GB2312" w:eastAsia="仿宋_GB2312"/>
          <w:b/>
          <w:bCs w:val="0"/>
          <w:color w:val="auto"/>
          <w:sz w:val="32"/>
          <w:szCs w:val="32"/>
          <w:highlight w:val="none"/>
        </w:rPr>
      </w:pPr>
      <w:bookmarkStart w:id="58" w:name="_Toc22184"/>
      <w:r>
        <w:rPr>
          <w:rFonts w:hint="eastAsia" w:ascii="楷体" w:hAnsi="楷体" w:eastAsia="楷体"/>
          <w:b/>
          <w:bCs w:val="0"/>
          <w:color w:val="auto"/>
          <w:sz w:val="32"/>
          <w:szCs w:val="32"/>
          <w:highlight w:val="none"/>
        </w:rPr>
        <w:t>技工院校毕业生</w:t>
      </w:r>
      <w:bookmarkEnd w:id="58"/>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40" w:lineRule="exact"/>
        <w:rPr>
          <w:rFonts w:hint="eastAsia" w:ascii="黑体" w:hAnsi="黑体" w:eastAsia="黑体" w:cs="黑体"/>
          <w:color w:val="000000"/>
          <w:sz w:val="32"/>
          <w:szCs w:val="32"/>
        </w:rPr>
      </w:pPr>
    </w:p>
    <w:p>
      <w:pPr>
        <w:spacing w:line="540" w:lineRule="exact"/>
        <w:rPr>
          <w:rFonts w:hint="eastAsia" w:ascii="黑体" w:hAnsi="黑体" w:eastAsia="黑体" w:cs="黑体"/>
          <w:color w:val="000000"/>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1">
    <w:nsid w:val="B50CCCFE"/>
    <w:multiLevelType w:val="singleLevel"/>
    <w:tmpl w:val="B50CCCFE"/>
    <w:lvl w:ilvl="0" w:tentative="0">
      <w:start w:val="1"/>
      <w:numFmt w:val="chineseCounting"/>
      <w:suff w:val="nothing"/>
      <w:lvlText w:val="（%1）"/>
      <w:lvlJc w:val="left"/>
      <w:rPr>
        <w:rFonts w:hint="eastAsia"/>
      </w:rPr>
    </w:lvl>
  </w:abstractNum>
  <w:abstractNum w:abstractNumId="2">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3">
    <w:nsid w:val="2DE76EE8"/>
    <w:multiLevelType w:val="singleLevel"/>
    <w:tmpl w:val="2DE76EE8"/>
    <w:lvl w:ilvl="0" w:tentative="0">
      <w:start w:val="3"/>
      <w:numFmt w:val="decimal"/>
      <w:suff w:val="nothing"/>
      <w:lvlText w:val="（%1）"/>
      <w:lvlJc w:val="left"/>
    </w:lvl>
  </w:abstractNum>
  <w:abstractNum w:abstractNumId="4">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5">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72FDC"/>
    <w:rsid w:val="0FA821AF"/>
    <w:rsid w:val="11120E04"/>
    <w:rsid w:val="115C0282"/>
    <w:rsid w:val="11D50F5D"/>
    <w:rsid w:val="12466C5E"/>
    <w:rsid w:val="127C59E8"/>
    <w:rsid w:val="12B17B3E"/>
    <w:rsid w:val="137A7CA3"/>
    <w:rsid w:val="145D3DE8"/>
    <w:rsid w:val="15714F96"/>
    <w:rsid w:val="15D95F9E"/>
    <w:rsid w:val="15E92563"/>
    <w:rsid w:val="175B119E"/>
    <w:rsid w:val="17682FA1"/>
    <w:rsid w:val="18581580"/>
    <w:rsid w:val="187FE6B0"/>
    <w:rsid w:val="18904636"/>
    <w:rsid w:val="18DC4FBF"/>
    <w:rsid w:val="1E381C14"/>
    <w:rsid w:val="1FAD1DE7"/>
    <w:rsid w:val="1FAE3AD8"/>
    <w:rsid w:val="1FEDEDA7"/>
    <w:rsid w:val="1FFAE780"/>
    <w:rsid w:val="20717870"/>
    <w:rsid w:val="207874E7"/>
    <w:rsid w:val="20D11DC7"/>
    <w:rsid w:val="2107136B"/>
    <w:rsid w:val="212E6965"/>
    <w:rsid w:val="21771570"/>
    <w:rsid w:val="21CD6AB5"/>
    <w:rsid w:val="21F41D88"/>
    <w:rsid w:val="23916A34"/>
    <w:rsid w:val="23DA0315"/>
    <w:rsid w:val="23FF64C8"/>
    <w:rsid w:val="242714D3"/>
    <w:rsid w:val="248C709C"/>
    <w:rsid w:val="25454C78"/>
    <w:rsid w:val="25B64A56"/>
    <w:rsid w:val="2690248F"/>
    <w:rsid w:val="27434329"/>
    <w:rsid w:val="27A609B1"/>
    <w:rsid w:val="27E04362"/>
    <w:rsid w:val="28654F9C"/>
    <w:rsid w:val="287A7EB7"/>
    <w:rsid w:val="29DC3048"/>
    <w:rsid w:val="2A07393E"/>
    <w:rsid w:val="2A9640F7"/>
    <w:rsid w:val="2AB93EDB"/>
    <w:rsid w:val="2AFF367E"/>
    <w:rsid w:val="2D0A1C91"/>
    <w:rsid w:val="2D146264"/>
    <w:rsid w:val="2D1620D0"/>
    <w:rsid w:val="2D3D3232"/>
    <w:rsid w:val="2E10141D"/>
    <w:rsid w:val="2ED55ABF"/>
    <w:rsid w:val="2EE36BA3"/>
    <w:rsid w:val="2F284924"/>
    <w:rsid w:val="2FF31FA0"/>
    <w:rsid w:val="30496ABC"/>
    <w:rsid w:val="32A52DB1"/>
    <w:rsid w:val="330D7063"/>
    <w:rsid w:val="331D1B45"/>
    <w:rsid w:val="33F75E4C"/>
    <w:rsid w:val="34054802"/>
    <w:rsid w:val="34171B12"/>
    <w:rsid w:val="34D735D7"/>
    <w:rsid w:val="351F4E18"/>
    <w:rsid w:val="357E6D44"/>
    <w:rsid w:val="36254EF0"/>
    <w:rsid w:val="36433543"/>
    <w:rsid w:val="388147D1"/>
    <w:rsid w:val="38A17E31"/>
    <w:rsid w:val="38E170A5"/>
    <w:rsid w:val="3ADEB7D9"/>
    <w:rsid w:val="3BA03D2D"/>
    <w:rsid w:val="3CAA7142"/>
    <w:rsid w:val="3D3C6670"/>
    <w:rsid w:val="3D5926B2"/>
    <w:rsid w:val="3DC5145F"/>
    <w:rsid w:val="3E562D7D"/>
    <w:rsid w:val="3EEFD21A"/>
    <w:rsid w:val="3F2661A4"/>
    <w:rsid w:val="3F7AEF16"/>
    <w:rsid w:val="3F9A3645"/>
    <w:rsid w:val="3FA304C4"/>
    <w:rsid w:val="3FF7D233"/>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CA7AC66"/>
    <w:rsid w:val="4D144C21"/>
    <w:rsid w:val="4D667BAF"/>
    <w:rsid w:val="4E073F0E"/>
    <w:rsid w:val="4E73522C"/>
    <w:rsid w:val="4EBD7FB6"/>
    <w:rsid w:val="4EC918D2"/>
    <w:rsid w:val="4EE73456"/>
    <w:rsid w:val="4F895F71"/>
    <w:rsid w:val="50247421"/>
    <w:rsid w:val="50B679B6"/>
    <w:rsid w:val="50CFDCE2"/>
    <w:rsid w:val="53564D9D"/>
    <w:rsid w:val="540313D5"/>
    <w:rsid w:val="54EC7875"/>
    <w:rsid w:val="554A40DA"/>
    <w:rsid w:val="557377A3"/>
    <w:rsid w:val="56BE341C"/>
    <w:rsid w:val="56BE477A"/>
    <w:rsid w:val="576324C7"/>
    <w:rsid w:val="576F2D86"/>
    <w:rsid w:val="579E6CD9"/>
    <w:rsid w:val="5A283182"/>
    <w:rsid w:val="5A551433"/>
    <w:rsid w:val="5A9340A0"/>
    <w:rsid w:val="5AAA10A0"/>
    <w:rsid w:val="5AE23015"/>
    <w:rsid w:val="5B7F8973"/>
    <w:rsid w:val="5C033BC0"/>
    <w:rsid w:val="5C620362"/>
    <w:rsid w:val="5C976E58"/>
    <w:rsid w:val="5CC84C5F"/>
    <w:rsid w:val="5DFF4EA3"/>
    <w:rsid w:val="5F3A704F"/>
    <w:rsid w:val="5FFF9060"/>
    <w:rsid w:val="603C3BAE"/>
    <w:rsid w:val="612F6021"/>
    <w:rsid w:val="61A8597B"/>
    <w:rsid w:val="633A3546"/>
    <w:rsid w:val="6529276A"/>
    <w:rsid w:val="65561D37"/>
    <w:rsid w:val="66F71AC3"/>
    <w:rsid w:val="67587B68"/>
    <w:rsid w:val="68753401"/>
    <w:rsid w:val="68C55500"/>
    <w:rsid w:val="69767728"/>
    <w:rsid w:val="6A1F5B15"/>
    <w:rsid w:val="6A1F6AAF"/>
    <w:rsid w:val="6ACA2314"/>
    <w:rsid w:val="6BB44D29"/>
    <w:rsid w:val="6BB97558"/>
    <w:rsid w:val="6BBA193E"/>
    <w:rsid w:val="6BE172C8"/>
    <w:rsid w:val="6CA42558"/>
    <w:rsid w:val="6D9912B9"/>
    <w:rsid w:val="6DF5EB9D"/>
    <w:rsid w:val="6E5D1E1F"/>
    <w:rsid w:val="6E5F2B55"/>
    <w:rsid w:val="6E69026A"/>
    <w:rsid w:val="6F122394"/>
    <w:rsid w:val="6FF77D64"/>
    <w:rsid w:val="6FF9C20E"/>
    <w:rsid w:val="708C0CCC"/>
    <w:rsid w:val="70EA56E6"/>
    <w:rsid w:val="70EE53CD"/>
    <w:rsid w:val="712712B8"/>
    <w:rsid w:val="71FF811D"/>
    <w:rsid w:val="736B2384"/>
    <w:rsid w:val="73E7829D"/>
    <w:rsid w:val="74177270"/>
    <w:rsid w:val="746F7336"/>
    <w:rsid w:val="747852FC"/>
    <w:rsid w:val="74CF0540"/>
    <w:rsid w:val="74F5A629"/>
    <w:rsid w:val="75CD167C"/>
    <w:rsid w:val="777506C5"/>
    <w:rsid w:val="77EC41DA"/>
    <w:rsid w:val="77FDA6B7"/>
    <w:rsid w:val="78123420"/>
    <w:rsid w:val="785B6B77"/>
    <w:rsid w:val="78DE52DA"/>
    <w:rsid w:val="78E77648"/>
    <w:rsid w:val="792D81AA"/>
    <w:rsid w:val="793C4AC0"/>
    <w:rsid w:val="795F3C44"/>
    <w:rsid w:val="796650F2"/>
    <w:rsid w:val="796D3657"/>
    <w:rsid w:val="796DB562"/>
    <w:rsid w:val="7A2B232E"/>
    <w:rsid w:val="7A595755"/>
    <w:rsid w:val="7BBF759D"/>
    <w:rsid w:val="7C140E8B"/>
    <w:rsid w:val="7CDDE84D"/>
    <w:rsid w:val="7D4A461B"/>
    <w:rsid w:val="7D57328A"/>
    <w:rsid w:val="7D8E4E41"/>
    <w:rsid w:val="7DA302C5"/>
    <w:rsid w:val="7DFF12CA"/>
    <w:rsid w:val="7DFF7503"/>
    <w:rsid w:val="7E411833"/>
    <w:rsid w:val="7E924827"/>
    <w:rsid w:val="7EEB5714"/>
    <w:rsid w:val="7EEF3F1E"/>
    <w:rsid w:val="7F3702FA"/>
    <w:rsid w:val="7F526B1C"/>
    <w:rsid w:val="7F771774"/>
    <w:rsid w:val="7FE650A6"/>
    <w:rsid w:val="7FFA8B63"/>
    <w:rsid w:val="AAB08C99"/>
    <w:rsid w:val="ABFEB19A"/>
    <w:rsid w:val="BB7E0FC9"/>
    <w:rsid w:val="BEEFB388"/>
    <w:rsid w:val="BF3FFF0E"/>
    <w:rsid w:val="BFDA49DF"/>
    <w:rsid w:val="C1BFD723"/>
    <w:rsid w:val="CB5FE03E"/>
    <w:rsid w:val="D7FF561D"/>
    <w:rsid w:val="DDFE09E5"/>
    <w:rsid w:val="E7BF3466"/>
    <w:rsid w:val="E8BF6E94"/>
    <w:rsid w:val="E93F4B8B"/>
    <w:rsid w:val="EF9EB5ED"/>
    <w:rsid w:val="F1FF6362"/>
    <w:rsid w:val="F25E393C"/>
    <w:rsid w:val="F3D132D8"/>
    <w:rsid w:val="F43B28B7"/>
    <w:rsid w:val="F77F4EAF"/>
    <w:rsid w:val="F78FBB02"/>
    <w:rsid w:val="F7ED2588"/>
    <w:rsid w:val="F9BF110A"/>
    <w:rsid w:val="F9DF82A3"/>
    <w:rsid w:val="FAFD4AB6"/>
    <w:rsid w:val="FAFDCF9A"/>
    <w:rsid w:val="FD7F2244"/>
    <w:rsid w:val="FDD79EEA"/>
    <w:rsid w:val="FEC4D5FD"/>
    <w:rsid w:val="FEFB3905"/>
    <w:rsid w:val="FF91FEF9"/>
    <w:rsid w:val="FFBD6330"/>
    <w:rsid w:val="FFCD948A"/>
    <w:rsid w:val="FFDB35C2"/>
    <w:rsid w:val="FFE7076E"/>
    <w:rsid w:val="FFEFF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2019-09-21T00:54:00Z</dcterms:created>
  <dc:creator>dell</dc:creator>
  <cp:lastModifiedBy>xmadmin</cp:lastModifiedBy>
  <cp:lastPrinted>2022-03-17T16:21:00Z</cp:lastPrinted>
  <dcterms:modified xsi:type="dcterms:W3CDTF">2023-02-03T14:51:53Z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ED92CE76CC9643C5BECED2E2B22DAEED</vt:lpwstr>
  </property>
</Properties>
</file>