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</w:t>
      </w:r>
      <w:r>
        <w:rPr>
          <w:rFonts w:hint="default" w:ascii="Times New Roman Regular" w:hAnsi="Times New Roman Regular" w:eastAsia="方正黑体_GBK" w:cs="Times New Roman Regular"/>
          <w:sz w:val="32"/>
          <w:szCs w:val="32"/>
        </w:rPr>
        <w:t>件5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“世界一流学科”建设学科名单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清华大学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北京化工大学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北京协和医学院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首都师范大学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中国传媒大学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对外经济贸易大学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外交学院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中国人民公安大学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北京体育大学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中央戏剧学院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中央民族大学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天津医科大学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华北电力大学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太原理工大学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内蒙古大学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辽宁大学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大连海事大学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吉林大学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延边大学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复旦大学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同济大学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上海体育学院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江南大学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南京信息工程大学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中国药科大学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浙江大学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安徽大学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中国科学技术大学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合肥工业大学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厦门大学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南昌大学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山东大学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中国石油大学（华东）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郑州大学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中国地质大学（武汉）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中南财经政法大学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中山大学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暨南大学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广州中医药大学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海南大学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广西大学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重庆大学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西南石油大学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贵州大学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云南大学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长安大学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西北农林科技大学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陕西师范大学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兰州大学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青海大学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新疆大学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石河子大学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国防科技大学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第二军医大学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第四军医大学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Regular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06E571E6"/>
    <w:rsid w:val="53D020D5"/>
    <w:rsid w:val="56F507AF"/>
    <w:rsid w:val="CEFD4016"/>
    <w:rsid w:val="DF4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2018-09-22T01:32:00Z</dcterms:created>
  <dc:creator>唐博</dc:creator>
  <cp:lastModifiedBy>武彦君</cp:lastModifiedBy>
  <dcterms:modified xsi:type="dcterms:W3CDTF">2022-10-13T22:53:47Z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73FA1162D3414DADB5FCCBB82A486773</vt:lpwstr>
  </property>
</Properties>
</file>