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napToGrid w:val="0"/>
          <w:color w:val="auto"/>
          <w:spacing w:val="-20"/>
          <w:kern w:val="0"/>
          <w:sz w:val="32"/>
          <w:szCs w:val="32"/>
        </w:rPr>
      </w:pPr>
      <w:r>
        <w:rPr>
          <w:rFonts w:eastAsia="黑体"/>
          <w:snapToGrid w:val="0"/>
          <w:color w:val="auto"/>
          <w:spacing w:val="-20"/>
          <w:kern w:val="0"/>
          <w:sz w:val="32"/>
          <w:szCs w:val="32"/>
        </w:rPr>
        <w:t>附件6</w:t>
      </w:r>
    </w:p>
    <w:p>
      <w:pPr>
        <w:spacing w:line="560" w:lineRule="exact"/>
        <w:jc w:val="center"/>
        <w:rPr>
          <w:rFonts w:hint="eastAsia" w:ascii="方正小标宋简体" w:eastAsia="方正小标宋简体"/>
          <w:bCs/>
          <w:color w:val="auto"/>
          <w:sz w:val="44"/>
          <w:szCs w:val="44"/>
        </w:rPr>
      </w:pPr>
      <w:bookmarkStart w:id="0" w:name="_GoBack"/>
      <w:r>
        <w:rPr>
          <w:rFonts w:hint="eastAsia" w:ascii="方正小标宋简体" w:hAnsi="黑体" w:eastAsia="方正小标宋简体"/>
          <w:bCs/>
          <w:color w:val="auto"/>
          <w:sz w:val="44"/>
          <w:szCs w:val="44"/>
        </w:rPr>
        <w:t>衡东县疾病预防控制中心简介</w:t>
      </w:r>
      <w:bookmarkEnd w:id="0"/>
    </w:p>
    <w:p>
      <w:pPr>
        <w:spacing w:line="560" w:lineRule="exact"/>
        <w:rPr>
          <w:rFonts w:eastAsia="仿宋_GB2312"/>
          <w:b/>
          <w:color w:val="auto"/>
          <w:sz w:val="32"/>
          <w:szCs w:val="32"/>
        </w:rPr>
      </w:pPr>
    </w:p>
    <w:p>
      <w:pPr>
        <w:spacing w:line="560" w:lineRule="exact"/>
        <w:ind w:firstLine="640" w:firstLineChars="200"/>
        <w:rPr>
          <w:rFonts w:eastAsia="仿宋_GB2312"/>
          <w:color w:val="auto"/>
          <w:sz w:val="32"/>
          <w:szCs w:val="32"/>
        </w:rPr>
      </w:pPr>
      <w:r>
        <w:rPr>
          <w:rFonts w:hAnsi="仿宋_GB2312" w:eastAsia="仿宋_GB2312"/>
          <w:color w:val="auto"/>
          <w:sz w:val="32"/>
          <w:szCs w:val="32"/>
        </w:rPr>
        <w:t>衡东县疾病预防控制中心是在原衡东县卫生防疫站的基础上组建而成，属财政全额拨款的正科级事业单位，湖南省县级甲等疾控中心。中心占地面积</w:t>
      </w:r>
      <w:r>
        <w:rPr>
          <w:rFonts w:eastAsia="仿宋_GB2312"/>
          <w:color w:val="auto"/>
          <w:sz w:val="32"/>
          <w:szCs w:val="32"/>
        </w:rPr>
        <w:t>5800</w:t>
      </w:r>
      <w:r>
        <w:rPr>
          <w:rFonts w:hAnsi="仿宋_GB2312" w:eastAsia="仿宋_GB2312"/>
          <w:color w:val="auto"/>
          <w:sz w:val="32"/>
          <w:szCs w:val="32"/>
        </w:rPr>
        <w:t>㎡，建筑面积</w:t>
      </w:r>
      <w:r>
        <w:rPr>
          <w:rFonts w:eastAsia="仿宋_GB2312"/>
          <w:color w:val="auto"/>
          <w:sz w:val="32"/>
          <w:szCs w:val="32"/>
        </w:rPr>
        <w:t>3900</w:t>
      </w:r>
      <w:r>
        <w:rPr>
          <w:rFonts w:hAnsi="仿宋_GB2312" w:eastAsia="仿宋_GB2312"/>
          <w:color w:val="auto"/>
          <w:sz w:val="32"/>
          <w:szCs w:val="32"/>
        </w:rPr>
        <w:t>㎡，实验室面积</w:t>
      </w:r>
      <w:r>
        <w:rPr>
          <w:rFonts w:eastAsia="仿宋_GB2312"/>
          <w:color w:val="auto"/>
          <w:sz w:val="32"/>
          <w:szCs w:val="32"/>
        </w:rPr>
        <w:t>900</w:t>
      </w:r>
      <w:r>
        <w:rPr>
          <w:rFonts w:hAnsi="仿宋_GB2312" w:eastAsia="仿宋_GB2312"/>
          <w:color w:val="auto"/>
          <w:sz w:val="32"/>
          <w:szCs w:val="32"/>
        </w:rPr>
        <w:t>㎡。核定编制数为</w:t>
      </w:r>
      <w:r>
        <w:rPr>
          <w:rFonts w:eastAsia="仿宋_GB2312"/>
          <w:color w:val="auto"/>
          <w:sz w:val="32"/>
          <w:szCs w:val="32"/>
        </w:rPr>
        <w:t>85</w:t>
      </w:r>
      <w:r>
        <w:rPr>
          <w:rFonts w:hAnsi="仿宋_GB2312" w:eastAsia="仿宋_GB2312"/>
          <w:color w:val="auto"/>
          <w:sz w:val="32"/>
          <w:szCs w:val="32"/>
        </w:rPr>
        <w:t>人，现有正式职工</w:t>
      </w:r>
      <w:r>
        <w:rPr>
          <w:rFonts w:eastAsia="仿宋_GB2312"/>
          <w:color w:val="auto"/>
          <w:sz w:val="32"/>
          <w:szCs w:val="32"/>
        </w:rPr>
        <w:t>76</w:t>
      </w:r>
      <w:r>
        <w:rPr>
          <w:rFonts w:hAnsi="仿宋_GB2312" w:eastAsia="仿宋_GB2312"/>
          <w:color w:val="auto"/>
          <w:sz w:val="32"/>
          <w:szCs w:val="32"/>
        </w:rPr>
        <w:t>人。卫生专业技术人员共</w:t>
      </w:r>
      <w:r>
        <w:rPr>
          <w:rFonts w:eastAsia="仿宋_GB2312"/>
          <w:color w:val="auto"/>
          <w:sz w:val="32"/>
          <w:szCs w:val="32"/>
        </w:rPr>
        <w:t>67</w:t>
      </w:r>
      <w:r>
        <w:rPr>
          <w:rFonts w:hAnsi="仿宋_GB2312" w:eastAsia="仿宋_GB2312"/>
          <w:color w:val="auto"/>
          <w:sz w:val="32"/>
          <w:szCs w:val="32"/>
        </w:rPr>
        <w:t>人，其中副高职称</w:t>
      </w:r>
      <w:r>
        <w:rPr>
          <w:rFonts w:eastAsia="仿宋_GB2312"/>
          <w:color w:val="auto"/>
          <w:sz w:val="32"/>
          <w:szCs w:val="32"/>
        </w:rPr>
        <w:t>16</w:t>
      </w:r>
      <w:r>
        <w:rPr>
          <w:rFonts w:hAnsi="仿宋_GB2312" w:eastAsia="仿宋_GB2312"/>
          <w:color w:val="auto"/>
          <w:sz w:val="32"/>
          <w:szCs w:val="32"/>
        </w:rPr>
        <w:t>人，中级职称</w:t>
      </w:r>
      <w:r>
        <w:rPr>
          <w:rFonts w:eastAsia="仿宋_GB2312"/>
          <w:color w:val="auto"/>
          <w:sz w:val="32"/>
          <w:szCs w:val="32"/>
        </w:rPr>
        <w:t>21</w:t>
      </w:r>
      <w:r>
        <w:rPr>
          <w:rFonts w:hAnsi="仿宋_GB2312" w:eastAsia="仿宋_GB2312"/>
          <w:color w:val="auto"/>
          <w:sz w:val="32"/>
          <w:szCs w:val="32"/>
        </w:rPr>
        <w:t>人。内设办公室、人事政工科、财务科、后勤安保科、质量管理科（绩效考核办）、性病艾滋病预防与控制科、急性传染病预防与控制科（应急办）、免疫规划科、慢性非传染性疾病预防与控制科、结核病与寄生虫病、地方病预防与控制科、职业卫生与学校卫生科、食品安全与公共场所卫生科、健康教育卫生宣传科、检验科等</w:t>
      </w:r>
      <w:r>
        <w:rPr>
          <w:rFonts w:eastAsia="仿宋_GB2312"/>
          <w:color w:val="auto"/>
          <w:sz w:val="32"/>
          <w:szCs w:val="32"/>
        </w:rPr>
        <w:t>14</w:t>
      </w:r>
      <w:r>
        <w:rPr>
          <w:rFonts w:hAnsi="仿宋_GB2312" w:eastAsia="仿宋_GB2312"/>
          <w:color w:val="auto"/>
          <w:sz w:val="32"/>
          <w:szCs w:val="32"/>
        </w:rPr>
        <w:t>个科室。主要承担全县的传染病预防与控制、突发事件卫生应急、慢性非传染性疾病预防控制、公共卫生健康危害因素控制、实验室检测、健康教育与健康促进、科学研究与技术指导等职能职责。</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中心配备了全自动生化仪、进口原子吸收仪、进口液相色谱仪、离子色谱仪、实时荧光</w:t>
      </w:r>
      <w:r>
        <w:rPr>
          <w:rFonts w:eastAsia="仿宋_GB2312"/>
          <w:color w:val="auto"/>
          <w:sz w:val="32"/>
          <w:szCs w:val="32"/>
        </w:rPr>
        <w:t>PCR</w:t>
      </w:r>
      <w:r>
        <w:rPr>
          <w:rFonts w:hAnsi="仿宋_GB2312" w:eastAsia="仿宋_GB2312"/>
          <w:color w:val="auto"/>
          <w:sz w:val="32"/>
          <w:szCs w:val="32"/>
        </w:rPr>
        <w:t>仪、全自动核酸提取仪、全自动微生物鉴定及药敏系统、流动注射仪、微波消解仪、自动固相萃取仪等各类先进检验仪器设备</w:t>
      </w:r>
      <w:r>
        <w:rPr>
          <w:rFonts w:eastAsia="仿宋_GB2312"/>
          <w:color w:val="auto"/>
          <w:sz w:val="32"/>
          <w:szCs w:val="32"/>
        </w:rPr>
        <w:t>120</w:t>
      </w:r>
      <w:r>
        <w:rPr>
          <w:rFonts w:hAnsi="仿宋_GB2312" w:eastAsia="仿宋_GB2312"/>
          <w:color w:val="auto"/>
          <w:sz w:val="32"/>
          <w:szCs w:val="32"/>
        </w:rPr>
        <w:t>余台</w:t>
      </w:r>
      <w:r>
        <w:rPr>
          <w:rFonts w:eastAsia="仿宋_GB2312"/>
          <w:color w:val="auto"/>
          <w:sz w:val="32"/>
          <w:szCs w:val="32"/>
        </w:rPr>
        <w:t>(</w:t>
      </w:r>
      <w:r>
        <w:rPr>
          <w:rFonts w:hAnsi="仿宋_GB2312" w:eastAsia="仿宋_GB2312"/>
          <w:color w:val="auto"/>
          <w:sz w:val="32"/>
          <w:szCs w:val="32"/>
        </w:rPr>
        <w:t>件</w:t>
      </w:r>
      <w:r>
        <w:rPr>
          <w:rFonts w:eastAsia="仿宋_GB2312"/>
          <w:color w:val="auto"/>
          <w:sz w:val="32"/>
          <w:szCs w:val="32"/>
        </w:rPr>
        <w:t>)</w:t>
      </w:r>
      <w:r>
        <w:rPr>
          <w:rFonts w:hAnsi="仿宋_GB2312" w:eastAsia="仿宋_GB2312"/>
          <w:color w:val="auto"/>
          <w:sz w:val="32"/>
          <w:szCs w:val="32"/>
        </w:rPr>
        <w:t>。可开展病原性快速检测、病原学分离鉴定、食品、生活饮用水、环境的检测、寄生虫检测、艾滋病抗体初筛检测、作业有毒有害因素检测、健康相关产品安全性检测、中毒事件相关样品检测与分析等检测项目共计</w:t>
      </w:r>
      <w:r>
        <w:rPr>
          <w:rFonts w:eastAsia="仿宋_GB2312"/>
          <w:color w:val="auto"/>
          <w:sz w:val="32"/>
          <w:szCs w:val="32"/>
        </w:rPr>
        <w:t>6</w:t>
      </w:r>
      <w:r>
        <w:rPr>
          <w:rFonts w:hAnsi="仿宋_GB2312" w:eastAsia="仿宋_GB2312"/>
          <w:color w:val="auto"/>
          <w:sz w:val="32"/>
          <w:szCs w:val="32"/>
        </w:rPr>
        <w:t>大类</w:t>
      </w:r>
      <w:r>
        <w:rPr>
          <w:rFonts w:eastAsia="仿宋_GB2312"/>
          <w:color w:val="auto"/>
          <w:sz w:val="32"/>
          <w:szCs w:val="32"/>
        </w:rPr>
        <w:t>79</w:t>
      </w:r>
      <w:r>
        <w:rPr>
          <w:rFonts w:hAnsi="仿宋_GB2312" w:eastAsia="仿宋_GB2312"/>
          <w:color w:val="auto"/>
          <w:sz w:val="32"/>
          <w:szCs w:val="32"/>
        </w:rPr>
        <w:t>项。</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中心先后荣获</w:t>
      </w:r>
      <w:r>
        <w:rPr>
          <w:rFonts w:eastAsia="仿宋_GB2312"/>
          <w:color w:val="auto"/>
          <w:sz w:val="32"/>
          <w:szCs w:val="32"/>
        </w:rPr>
        <w:t>“</w:t>
      </w:r>
      <w:r>
        <w:rPr>
          <w:rFonts w:hAnsi="仿宋_GB2312" w:eastAsia="仿宋_GB2312"/>
          <w:color w:val="auto"/>
          <w:sz w:val="32"/>
          <w:szCs w:val="32"/>
        </w:rPr>
        <w:t>全国疾病预防控制工作先进集体</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国家肿瘤防治工作突出贡献奖</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县级甲等疾控中心</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湖南省文明单位</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湖南省文明标兵单位</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湖南省十二五重点传染病监测先进单位</w:t>
      </w:r>
      <w:r>
        <w:rPr>
          <w:rFonts w:eastAsia="仿宋_GB2312"/>
          <w:color w:val="auto"/>
          <w:sz w:val="32"/>
          <w:szCs w:val="32"/>
        </w:rPr>
        <w:t>”</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先进基层党支部</w:t>
      </w:r>
      <w:r>
        <w:rPr>
          <w:rFonts w:eastAsia="仿宋_GB2312"/>
          <w:color w:val="auto"/>
          <w:sz w:val="32"/>
          <w:szCs w:val="32"/>
        </w:rPr>
        <w:t>”</w:t>
      </w:r>
      <w:r>
        <w:rPr>
          <w:rFonts w:hAnsi="仿宋_GB2312" w:eastAsia="仿宋_GB2312"/>
          <w:color w:val="auto"/>
          <w:sz w:val="32"/>
          <w:szCs w:val="32"/>
        </w:rPr>
        <w:t>等荣誉称号。</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2166772D"/>
    <w:rsid w:val="05DD6C40"/>
    <w:rsid w:val="0C4146C1"/>
    <w:rsid w:val="15A3026B"/>
    <w:rsid w:val="2166772D"/>
    <w:rsid w:val="39210264"/>
    <w:rsid w:val="4AA64086"/>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0"/>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customStyle="1" w:styleId="8">
    <w:name w:val="标题 1 Char"/>
    <w:link w:val="2"/>
    <w:uiPriority w:val="0"/>
    <w:rPr>
      <w:rFonts w:ascii="黑体" w:hAnsi="黑体" w:eastAsia="黑体"/>
      <w:kern w:val="44"/>
    </w:rPr>
  </w:style>
  <w:style w:type="character" w:customStyle="1" w:styleId="9">
    <w:name w:val="标题 2 Char"/>
    <w:link w:val="3"/>
    <w:uiPriority w:val="0"/>
    <w:rPr>
      <w:rFonts w:ascii="Arial" w:hAnsi="Arial" w:eastAsia="楷体"/>
      <w:b/>
    </w:rPr>
  </w:style>
  <w:style w:type="character" w:customStyle="1" w:styleId="10">
    <w:name w:val="标题 3 Char"/>
    <w:link w:val="4"/>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2022-06-16T03:23:00Z</dcterms:created>
  <dc:creator>Biubiubiu</dc:creator>
  <cp:lastModifiedBy>Biubiubiu</cp:lastModifiedBy>
  <dcterms:modified xsi:type="dcterms:W3CDTF">2022-06-16T03:24:05Z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0CFC877B5B4E40D896C9000E2F705EF3</vt:lpwstr>
  </property>
</Properties>
</file>