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ascii="黑体" w:hAnsi="黑体" w:eastAsia="黑体" w:cs="仿宋_GB2312"/>
          <w:color w:val="auto"/>
          <w:kern w:val="0"/>
          <w:sz w:val="32"/>
          <w:szCs w:val="32"/>
          <w:highlight w:val="none"/>
        </w:rPr>
      </w:pPr>
      <w:r>
        <w:rPr>
          <w:rFonts w:hint="eastAsia" w:ascii="黑体" w:hAnsi="黑体" w:eastAsia="黑体" w:cs="仿宋_GB2312"/>
          <w:color w:val="auto"/>
          <w:kern w:val="0"/>
          <w:sz w:val="32"/>
          <w:szCs w:val="32"/>
          <w:highlight w:val="none"/>
        </w:rPr>
        <w:t>附件3</w:t>
      </w:r>
    </w:p>
    <w:p>
      <w:pPr>
        <w:spacing w:line="560" w:lineRule="exact"/>
        <w:jc w:val="center"/>
        <w:rPr>
          <w:rFonts w:hint="eastAsia" w:ascii="宋体" w:hAnsi="宋体" w:eastAsia="宋体" w:cs="宋体"/>
          <w:b/>
          <w:bCs w:val="0"/>
          <w:color w:val="auto"/>
          <w:sz w:val="44"/>
          <w:szCs w:val="44"/>
          <w:highlight w:val="none"/>
        </w:rPr>
      </w:pPr>
      <w:r>
        <w:rPr>
          <w:rFonts w:hint="eastAsia" w:ascii="宋体" w:hAnsi="宋体" w:eastAsia="宋体" w:cs="宋体"/>
          <w:b/>
          <w:bCs w:val="0"/>
          <w:color w:val="auto"/>
          <w:sz w:val="44"/>
          <w:szCs w:val="44"/>
          <w:highlight w:val="none"/>
        </w:rPr>
        <w:t>泉州医学高等专科学校</w:t>
      </w:r>
    </w:p>
    <w:p>
      <w:pPr>
        <w:spacing w:after="240" w:afterLines="100" w:line="560" w:lineRule="exact"/>
        <w:jc w:val="center"/>
        <w:rPr>
          <w:rFonts w:hint="eastAsia" w:ascii="宋体" w:hAnsi="宋体" w:eastAsia="宋体" w:cs="宋体"/>
          <w:b/>
          <w:color w:val="auto"/>
          <w:sz w:val="44"/>
          <w:szCs w:val="44"/>
          <w:highlight w:val="none"/>
        </w:rPr>
      </w:pPr>
      <w:r>
        <w:rPr>
          <w:rFonts w:hint="eastAsia" w:ascii="宋体" w:hAnsi="宋体" w:eastAsia="宋体" w:cs="宋体"/>
          <w:b/>
          <w:bCs w:val="0"/>
          <w:color w:val="auto"/>
          <w:sz w:val="44"/>
          <w:szCs w:val="44"/>
          <w:highlight w:val="none"/>
        </w:rPr>
        <w:t>高层次创业创新人才引进办法</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为吸引更多海内外高层次人才来校工作，进一步加强师资队伍建设，优化师资学历、职称结构，落实“人才强校”战略，推动内涵发展。根据福建省和泉州市有关政策，结合</w:t>
      </w:r>
      <w:r>
        <w:rPr>
          <w:rFonts w:ascii="仿宋_GB2312" w:hAnsi="仿宋" w:eastAsia="仿宋_GB2312"/>
          <w:color w:val="auto"/>
          <w:kern w:val="32"/>
          <w:sz w:val="32"/>
          <w:szCs w:val="32"/>
          <w:highlight w:val="none"/>
        </w:rPr>
        <w:t>学校</w:t>
      </w:r>
      <w:r>
        <w:rPr>
          <w:rFonts w:hint="eastAsia" w:ascii="仿宋_GB2312" w:hAnsi="仿宋" w:eastAsia="仿宋_GB2312"/>
          <w:color w:val="auto"/>
          <w:kern w:val="32"/>
          <w:sz w:val="32"/>
          <w:szCs w:val="32"/>
          <w:highlight w:val="none"/>
        </w:rPr>
        <w:t>实际，制定本办法。</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一、引进人才的基本要求</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遵纪守法，品行端正，身心健康，具有良好的职业道德，较强的创新创业精神、团队协作意识和过硬的专业素质，能胜任所聘岗位的教学、科研、社会服务等工作。</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二、引进人才条件类别</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对引进的人才根据其职称、学历、专业、工作业绩等差异，分类指导，因人施策。人才类别如下：</w:t>
      </w:r>
    </w:p>
    <w:p>
      <w:pPr>
        <w:numPr>
          <w:ilvl w:val="0"/>
          <w:numId w:val="0"/>
        </w:numPr>
        <w:spacing w:line="540" w:lineRule="exact"/>
        <w:ind w:left="341" w:right="340" w:firstLine="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lang w:eastAsia="zh-CN"/>
        </w:rPr>
        <w:t>（一）</w:t>
      </w:r>
      <w:r>
        <w:rPr>
          <w:rFonts w:hint="eastAsia" w:ascii="仿宋_GB2312" w:hAnsi="仿宋" w:eastAsia="仿宋_GB2312"/>
          <w:b/>
          <w:color w:val="auto"/>
          <w:kern w:val="32"/>
          <w:sz w:val="32"/>
          <w:szCs w:val="32"/>
          <w:highlight w:val="none"/>
        </w:rPr>
        <w:t>A类</w:t>
      </w:r>
    </w:p>
    <w:p>
      <w:pPr>
        <w:spacing w:line="540" w:lineRule="exact"/>
        <w:ind w:right="34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 xml:space="preserve">   符合《福建省高层次人才认定和支持办法（试行）》（闽委人才[2020]4号）规定的特级、A、B、C类人才或泉州市高层次人才认定规定的第一至第三层次人才的专家学者。</w:t>
      </w:r>
    </w:p>
    <w:p>
      <w:pPr>
        <w:numPr>
          <w:ilvl w:val="0"/>
          <w:numId w:val="0"/>
        </w:numPr>
        <w:spacing w:line="540" w:lineRule="exact"/>
        <w:ind w:left="341" w:right="340" w:firstLine="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lang w:eastAsia="zh-CN"/>
        </w:rPr>
        <w:t>（二）</w:t>
      </w:r>
      <w:r>
        <w:rPr>
          <w:rFonts w:hint="eastAsia" w:ascii="仿宋_GB2312" w:hAnsi="仿宋" w:eastAsia="仿宋_GB2312"/>
          <w:b/>
          <w:color w:val="auto"/>
          <w:kern w:val="32"/>
          <w:sz w:val="32"/>
          <w:szCs w:val="32"/>
          <w:highlight w:val="none"/>
        </w:rPr>
        <w:t>B类</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45周岁及以下紧缺急需的具有正高级专业技术职务资格人员；45周岁及以下紧缺急需的具有博士学位的副高级专业技术职务资格人员。</w:t>
      </w:r>
    </w:p>
    <w:p>
      <w:pPr>
        <w:spacing w:line="540" w:lineRule="exact"/>
        <w:ind w:right="340" w:firstLine="321" w:firstLineChars="1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（三）C类</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50周岁及以下紧缺急需的具有正高级专业技术职务资格人员；45周岁及以下紧缺急需的具有博士学位人员；45周岁及以下紧缺急需的具有硕士学位的副高级专业技术职务资格人员。</w:t>
      </w:r>
    </w:p>
    <w:p>
      <w:pPr>
        <w:spacing w:line="540" w:lineRule="exact"/>
        <w:ind w:right="340" w:firstLine="321" w:firstLineChars="1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（四）D类</w:t>
      </w:r>
    </w:p>
    <w:p>
      <w:pPr>
        <w:spacing w:line="540" w:lineRule="exact"/>
        <w:ind w:right="340" w:firstLine="640" w:firstLineChars="200"/>
        <w:rPr>
          <w:rFonts w:ascii="仿宋_GB2312" w:hAnsi="仿宋" w:eastAsia="仿宋_GB2312"/>
          <w:b/>
          <w:color w:val="auto"/>
          <w:kern w:val="32"/>
          <w:sz w:val="32"/>
          <w:szCs w:val="32"/>
          <w:highlight w:val="none"/>
        </w:rPr>
      </w:pPr>
      <w:r>
        <w:rPr>
          <w:rFonts w:hint="eastAsia" w:ascii="仿宋_GB2312" w:hAnsi="仿宋" w:eastAsia="仿宋_GB2312"/>
          <w:color w:val="auto"/>
          <w:kern w:val="32"/>
          <w:sz w:val="32"/>
          <w:szCs w:val="32"/>
          <w:highlight w:val="none"/>
        </w:rPr>
        <w:t>50周岁及以下紧缺急需的具有本科学历的副高级专业技术职务资格人员。45周岁及以下非紧缺急需的具有博士学位人员。</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三、引进人才的方式</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（一）全职引进</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1、引进的人才，能全职在</w:t>
      </w:r>
      <w:r>
        <w:rPr>
          <w:rFonts w:ascii="仿宋_GB2312" w:hAnsi="仿宋" w:eastAsia="仿宋_GB2312"/>
          <w:color w:val="auto"/>
          <w:kern w:val="32"/>
          <w:sz w:val="32"/>
          <w:szCs w:val="32"/>
          <w:highlight w:val="none"/>
        </w:rPr>
        <w:t>学校</w:t>
      </w:r>
      <w:r>
        <w:rPr>
          <w:rFonts w:hint="eastAsia" w:ascii="仿宋_GB2312" w:hAnsi="仿宋" w:eastAsia="仿宋_GB2312"/>
          <w:color w:val="auto"/>
          <w:kern w:val="32"/>
          <w:sz w:val="32"/>
          <w:szCs w:val="32"/>
          <w:highlight w:val="none"/>
        </w:rPr>
        <w:t>工作，人事关系转入</w:t>
      </w:r>
      <w:r>
        <w:rPr>
          <w:rFonts w:ascii="仿宋_GB2312" w:hAnsi="仿宋" w:eastAsia="仿宋_GB2312"/>
          <w:color w:val="auto"/>
          <w:kern w:val="32"/>
          <w:sz w:val="32"/>
          <w:szCs w:val="32"/>
          <w:highlight w:val="none"/>
        </w:rPr>
        <w:t>学校</w:t>
      </w:r>
      <w:r>
        <w:rPr>
          <w:rFonts w:hint="eastAsia" w:ascii="仿宋_GB2312" w:hAnsi="仿宋" w:eastAsia="仿宋_GB2312"/>
          <w:color w:val="auto"/>
          <w:kern w:val="32"/>
          <w:sz w:val="32"/>
          <w:szCs w:val="32"/>
          <w:highlight w:val="none"/>
        </w:rPr>
        <w:t>，符合事业单位有关政策要求的，给予办理入编手续，与</w:t>
      </w:r>
      <w:r>
        <w:rPr>
          <w:rFonts w:ascii="仿宋_GB2312" w:hAnsi="仿宋" w:eastAsia="仿宋_GB2312"/>
          <w:color w:val="auto"/>
          <w:kern w:val="32"/>
          <w:sz w:val="32"/>
          <w:szCs w:val="32"/>
          <w:highlight w:val="none"/>
        </w:rPr>
        <w:t>学校</w:t>
      </w:r>
      <w:r>
        <w:rPr>
          <w:rFonts w:hint="eastAsia" w:ascii="仿宋_GB2312" w:hAnsi="仿宋" w:eastAsia="仿宋_GB2312"/>
          <w:color w:val="auto"/>
          <w:kern w:val="32"/>
          <w:sz w:val="32"/>
          <w:szCs w:val="32"/>
          <w:highlight w:val="none"/>
        </w:rPr>
        <w:t>签订不少于5年的服务协议。</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2、引进的人才，能全职在</w:t>
      </w:r>
      <w:r>
        <w:rPr>
          <w:rFonts w:ascii="仿宋_GB2312" w:hAnsi="仿宋" w:eastAsia="仿宋_GB2312"/>
          <w:color w:val="auto"/>
          <w:kern w:val="32"/>
          <w:sz w:val="32"/>
          <w:szCs w:val="32"/>
          <w:highlight w:val="none"/>
        </w:rPr>
        <w:t>学校</w:t>
      </w:r>
      <w:r>
        <w:rPr>
          <w:rFonts w:hint="eastAsia" w:ascii="仿宋_GB2312" w:hAnsi="仿宋" w:eastAsia="仿宋_GB2312"/>
          <w:color w:val="auto"/>
          <w:kern w:val="32"/>
          <w:sz w:val="32"/>
          <w:szCs w:val="32"/>
          <w:highlight w:val="none"/>
        </w:rPr>
        <w:t>工作，人事关系未转入</w:t>
      </w:r>
      <w:r>
        <w:rPr>
          <w:rFonts w:ascii="仿宋_GB2312" w:hAnsi="仿宋" w:eastAsia="仿宋_GB2312"/>
          <w:color w:val="auto"/>
          <w:kern w:val="32"/>
          <w:sz w:val="32"/>
          <w:szCs w:val="32"/>
          <w:highlight w:val="none"/>
        </w:rPr>
        <w:t>学校</w:t>
      </w:r>
      <w:r>
        <w:rPr>
          <w:rFonts w:hint="eastAsia" w:ascii="仿宋_GB2312" w:hAnsi="仿宋" w:eastAsia="仿宋_GB2312"/>
          <w:color w:val="auto"/>
          <w:kern w:val="32"/>
          <w:sz w:val="32"/>
          <w:szCs w:val="32"/>
          <w:highlight w:val="none"/>
        </w:rPr>
        <w:t>，与</w:t>
      </w:r>
      <w:r>
        <w:rPr>
          <w:rFonts w:ascii="仿宋_GB2312" w:hAnsi="仿宋" w:eastAsia="仿宋_GB2312"/>
          <w:color w:val="auto"/>
          <w:kern w:val="32"/>
          <w:sz w:val="32"/>
          <w:szCs w:val="32"/>
          <w:highlight w:val="none"/>
        </w:rPr>
        <w:t>学校</w:t>
      </w:r>
      <w:r>
        <w:rPr>
          <w:rFonts w:hint="eastAsia" w:ascii="仿宋_GB2312" w:hAnsi="仿宋" w:eastAsia="仿宋_GB2312"/>
          <w:color w:val="auto"/>
          <w:kern w:val="32"/>
          <w:sz w:val="32"/>
          <w:szCs w:val="32"/>
          <w:highlight w:val="none"/>
        </w:rPr>
        <w:t>签订不少于3年的聘用合同。年龄可适当放宽要求，但不超过60周岁。</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（二）柔性引进</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引进的人才，不能全职在</w:t>
      </w:r>
      <w:r>
        <w:rPr>
          <w:rFonts w:ascii="仿宋_GB2312" w:hAnsi="仿宋" w:eastAsia="仿宋_GB2312"/>
          <w:color w:val="auto"/>
          <w:kern w:val="32"/>
          <w:sz w:val="32"/>
          <w:szCs w:val="32"/>
          <w:highlight w:val="none"/>
        </w:rPr>
        <w:t>学校</w:t>
      </w:r>
      <w:r>
        <w:rPr>
          <w:rFonts w:hint="eastAsia" w:ascii="仿宋_GB2312" w:hAnsi="仿宋" w:eastAsia="仿宋_GB2312"/>
          <w:color w:val="auto"/>
          <w:kern w:val="32"/>
          <w:sz w:val="32"/>
          <w:szCs w:val="32"/>
          <w:highlight w:val="none"/>
        </w:rPr>
        <w:t>工作，与</w:t>
      </w:r>
      <w:r>
        <w:rPr>
          <w:rFonts w:ascii="仿宋_GB2312" w:hAnsi="仿宋" w:eastAsia="仿宋_GB2312"/>
          <w:color w:val="auto"/>
          <w:kern w:val="32"/>
          <w:sz w:val="32"/>
          <w:szCs w:val="32"/>
          <w:highlight w:val="none"/>
        </w:rPr>
        <w:t>学校</w:t>
      </w:r>
      <w:r>
        <w:rPr>
          <w:rFonts w:hint="eastAsia" w:ascii="仿宋_GB2312" w:hAnsi="仿宋" w:eastAsia="仿宋_GB2312"/>
          <w:color w:val="auto"/>
          <w:kern w:val="32"/>
          <w:sz w:val="32"/>
          <w:szCs w:val="32"/>
          <w:highlight w:val="none"/>
        </w:rPr>
        <w:t>签订柔性聘用合同，每年在</w:t>
      </w:r>
      <w:r>
        <w:rPr>
          <w:rFonts w:ascii="仿宋_GB2312" w:hAnsi="仿宋" w:eastAsia="仿宋_GB2312"/>
          <w:color w:val="auto"/>
          <w:kern w:val="32"/>
          <w:sz w:val="32"/>
          <w:szCs w:val="32"/>
          <w:highlight w:val="none"/>
        </w:rPr>
        <w:t>学校</w:t>
      </w:r>
      <w:r>
        <w:rPr>
          <w:rFonts w:hint="eastAsia" w:ascii="仿宋_GB2312" w:hAnsi="仿宋" w:eastAsia="仿宋_GB2312"/>
          <w:color w:val="auto"/>
          <w:kern w:val="32"/>
          <w:sz w:val="32"/>
          <w:szCs w:val="32"/>
          <w:highlight w:val="none"/>
        </w:rPr>
        <w:t>工作一定时间，完成一定工作任务。柔性引进人才原则上为学校专业（学科）建设紧缺急需人才，要求具有副高级及以上专业技术职务资格或</w:t>
      </w:r>
      <w:bookmarkStart w:id="0" w:name="_Hlk524469692"/>
      <w:r>
        <w:rPr>
          <w:rFonts w:hint="eastAsia" w:ascii="仿宋_GB2312" w:hAnsi="仿宋" w:eastAsia="仿宋_GB2312"/>
          <w:color w:val="auto"/>
          <w:kern w:val="32"/>
          <w:sz w:val="32"/>
          <w:szCs w:val="32"/>
          <w:highlight w:val="none"/>
        </w:rPr>
        <w:t>具有在国（境）外学习、工作经历的博士学位人员。</w:t>
      </w:r>
      <w:bookmarkEnd w:id="0"/>
      <w:r>
        <w:rPr>
          <w:rFonts w:hint="eastAsia" w:ascii="仿宋_GB2312" w:hAnsi="仿宋" w:eastAsia="仿宋_GB2312"/>
          <w:color w:val="auto"/>
          <w:kern w:val="32"/>
          <w:sz w:val="32"/>
          <w:szCs w:val="32"/>
          <w:highlight w:val="none"/>
        </w:rPr>
        <w:t>年龄可适当放宽要求，但不超过60周岁。</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四、引进人才的岗位职责</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引进的人才办理入编的，按照事业单位有关政策规定进行管理，履行聘用岗位职责。引进的人才不办理入编的，学校根据岗位及引进人才科研基础、教学水平等，与其确定聘期内的工作目标、任务，目标与任务在聘任合同书载明。</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全职引进人才聘期内所有的教学、科研成果均需以泉州医学高等专科学校作为第一署名单位。按照学校管理规定进行管理。有关详款在聘用合同确定。</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五、引进人才的工作待遇及工作条件</w:t>
      </w:r>
    </w:p>
    <w:p>
      <w:pPr>
        <w:numPr>
          <w:ilvl w:val="0"/>
          <w:numId w:val="0"/>
        </w:numPr>
        <w:spacing w:line="540" w:lineRule="exact"/>
        <w:ind w:left="643" w:right="340" w:firstLine="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lang w:eastAsia="zh-CN"/>
        </w:rPr>
        <w:t>（一）</w:t>
      </w:r>
      <w:r>
        <w:rPr>
          <w:rFonts w:hint="eastAsia" w:ascii="仿宋_GB2312" w:hAnsi="仿宋" w:eastAsia="仿宋_GB2312"/>
          <w:b/>
          <w:color w:val="auto"/>
          <w:kern w:val="32"/>
          <w:sz w:val="32"/>
          <w:szCs w:val="32"/>
          <w:highlight w:val="none"/>
        </w:rPr>
        <w:t>工作待遇</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1、全职引进人才的工作待遇</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（1）编制内引进人才的工作待遇</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工资、福利待遇等按事业单位有关政策规定发放，安家费、住房待遇、科研启动费等标准如下：</w:t>
      </w:r>
    </w:p>
    <w:tbl>
      <w:tblPr>
        <w:tblStyle w:val="4"/>
        <w:tblW w:w="83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17"/>
        <w:gridCol w:w="990"/>
        <w:gridCol w:w="1276"/>
        <w:gridCol w:w="2410"/>
        <w:gridCol w:w="1417"/>
        <w:gridCol w:w="12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7" w:type="dxa"/>
            <w:vMerge w:val="restart"/>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人才</w:t>
            </w:r>
          </w:p>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类别</w:t>
            </w:r>
          </w:p>
        </w:tc>
        <w:tc>
          <w:tcPr>
            <w:tcW w:w="99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安家费(万)</w:t>
            </w:r>
          </w:p>
        </w:tc>
        <w:tc>
          <w:tcPr>
            <w:tcW w:w="3686" w:type="dxa"/>
            <w:gridSpan w:val="2"/>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住房待遇</w:t>
            </w:r>
          </w:p>
        </w:tc>
        <w:tc>
          <w:tcPr>
            <w:tcW w:w="2629" w:type="dxa"/>
            <w:gridSpan w:val="2"/>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科研启动费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88" w:hRule="atLeast"/>
          <w:jc w:val="center"/>
        </w:trPr>
        <w:tc>
          <w:tcPr>
            <w:tcW w:w="1017"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540" w:lineRule="exact"/>
              <w:jc w:val="left"/>
              <w:rPr>
                <w:rFonts w:ascii="仿宋_GB2312" w:hAnsi="仿宋" w:eastAsia="仿宋_GB2312" w:cs="Arial"/>
                <w:color w:val="auto"/>
                <w:kern w:val="0"/>
                <w:sz w:val="32"/>
                <w:szCs w:val="32"/>
                <w:highlight w:val="none"/>
              </w:rPr>
            </w:pPr>
          </w:p>
        </w:tc>
        <w:tc>
          <w:tcPr>
            <w:tcW w:w="99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540" w:lineRule="exact"/>
              <w:jc w:val="left"/>
              <w:rPr>
                <w:rFonts w:ascii="仿宋_GB2312" w:hAnsi="仿宋" w:eastAsia="仿宋_GB2312" w:cs="Arial"/>
                <w:color w:val="auto"/>
                <w:kern w:val="0"/>
                <w:sz w:val="32"/>
                <w:szCs w:val="32"/>
                <w:highlight w:val="none"/>
              </w:rPr>
            </w:pPr>
          </w:p>
        </w:tc>
        <w:tc>
          <w:tcPr>
            <w:tcW w:w="1276"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购房补贴(万)</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租房补贴</w:t>
            </w: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自然</w:t>
            </w:r>
          </w:p>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科学(万)</w:t>
            </w: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人文</w:t>
            </w:r>
          </w:p>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社科(万)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01" w:hRule="atLeast"/>
          <w:jc w:val="center"/>
        </w:trPr>
        <w:tc>
          <w:tcPr>
            <w:tcW w:w="10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A</w:t>
            </w:r>
          </w:p>
        </w:tc>
        <w:tc>
          <w:tcPr>
            <w:tcW w:w="7305" w:type="dxa"/>
            <w:gridSpan w:val="5"/>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一人一策，一事一议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10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B</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45</w:t>
            </w:r>
          </w:p>
        </w:tc>
        <w:tc>
          <w:tcPr>
            <w:tcW w:w="1276" w:type="dxa"/>
            <w:tcBorders>
              <w:top w:val="outset" w:color="auto" w:sz="6" w:space="0"/>
              <w:left w:val="outset" w:color="auto" w:sz="6" w:space="0"/>
              <w:bottom w:val="outset" w:color="auto" w:sz="6" w:space="0"/>
              <w:right w:val="single" w:color="auto" w:sz="4"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45</w:t>
            </w:r>
          </w:p>
        </w:tc>
        <w:tc>
          <w:tcPr>
            <w:tcW w:w="2410" w:type="dxa"/>
            <w:vMerge w:val="restart"/>
            <w:tcBorders>
              <w:top w:val="outset" w:color="auto" w:sz="6" w:space="0"/>
              <w:left w:val="single" w:color="auto" w:sz="4" w:space="0"/>
              <w:right w:val="outset" w:color="auto" w:sz="6" w:space="0"/>
            </w:tcBorders>
            <w:vAlign w:val="center"/>
          </w:tcPr>
          <w:p>
            <w:pPr>
              <w:spacing w:line="540" w:lineRule="exact"/>
              <w:ind w:firstLine="640" w:firstLineChars="200"/>
              <w:rPr>
                <w:rFonts w:ascii="仿宋_GB2312" w:hAnsi="仿宋" w:eastAsia="仿宋_GB2312"/>
                <w:color w:val="auto"/>
                <w:kern w:val="32"/>
                <w:sz w:val="32"/>
                <w:szCs w:val="32"/>
                <w:highlight w:val="none"/>
              </w:rPr>
            </w:pPr>
            <w:r>
              <w:rPr>
                <w:rFonts w:hint="eastAsia" w:ascii="仿宋_GB2312" w:hAnsi="仿宋" w:eastAsia="仿宋_GB2312" w:cs="Arial"/>
                <w:color w:val="auto"/>
                <w:kern w:val="0"/>
                <w:sz w:val="32"/>
                <w:szCs w:val="32"/>
                <w:highlight w:val="none"/>
              </w:rPr>
              <w:t>进校工作后第一年、第二年，由学校支付租房补贴2000元/月/人。</w:t>
            </w: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20</w:t>
            </w: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C</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35</w:t>
            </w:r>
          </w:p>
        </w:tc>
        <w:tc>
          <w:tcPr>
            <w:tcW w:w="1276" w:type="dxa"/>
            <w:tcBorders>
              <w:top w:val="outset" w:color="auto" w:sz="6" w:space="0"/>
              <w:left w:val="outset" w:color="auto" w:sz="6" w:space="0"/>
              <w:bottom w:val="outset" w:color="auto" w:sz="6" w:space="0"/>
              <w:right w:val="single" w:color="auto" w:sz="4"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35</w:t>
            </w:r>
          </w:p>
        </w:tc>
        <w:tc>
          <w:tcPr>
            <w:tcW w:w="2410" w:type="dxa"/>
            <w:vMerge w:val="continue"/>
            <w:tcBorders>
              <w:left w:val="single" w:color="auto" w:sz="4" w:space="0"/>
              <w:right w:val="outset" w:color="auto" w:sz="6" w:space="0"/>
            </w:tcBorders>
            <w:vAlign w:val="center"/>
          </w:tcPr>
          <w:p>
            <w:pPr>
              <w:spacing w:line="540" w:lineRule="exact"/>
              <w:jc w:val="center"/>
              <w:rPr>
                <w:rFonts w:ascii="仿宋_GB2312" w:hAnsi="仿宋" w:eastAsia="仿宋_GB2312" w:cs="Arial"/>
                <w:color w:val="auto"/>
                <w:kern w:val="0"/>
                <w:sz w:val="32"/>
                <w:szCs w:val="32"/>
                <w:highlight w:val="none"/>
              </w:rPr>
            </w:pP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16</w:t>
            </w: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3" w:hRule="atLeast"/>
          <w:jc w:val="center"/>
        </w:trPr>
        <w:tc>
          <w:tcPr>
            <w:tcW w:w="10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D</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20</w:t>
            </w:r>
          </w:p>
        </w:tc>
        <w:tc>
          <w:tcPr>
            <w:tcW w:w="1276" w:type="dxa"/>
            <w:tcBorders>
              <w:top w:val="outset" w:color="auto" w:sz="6" w:space="0"/>
              <w:left w:val="outset" w:color="auto" w:sz="6" w:space="0"/>
              <w:bottom w:val="outset" w:color="auto" w:sz="6" w:space="0"/>
              <w:right w:val="single" w:color="auto" w:sz="4"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20</w:t>
            </w:r>
          </w:p>
        </w:tc>
        <w:tc>
          <w:tcPr>
            <w:tcW w:w="2410" w:type="dxa"/>
            <w:vMerge w:val="continue"/>
            <w:tcBorders>
              <w:left w:val="single" w:color="auto" w:sz="4"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12</w:t>
            </w: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63" w:hRule="atLeast"/>
          <w:jc w:val="center"/>
        </w:trPr>
        <w:tc>
          <w:tcPr>
            <w:tcW w:w="10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备注</w:t>
            </w:r>
          </w:p>
        </w:tc>
        <w:tc>
          <w:tcPr>
            <w:tcW w:w="7305" w:type="dxa"/>
            <w:gridSpan w:val="5"/>
            <w:tcBorders>
              <w:top w:val="outset" w:color="auto" w:sz="6" w:space="0"/>
              <w:left w:val="outset" w:color="auto" w:sz="6" w:space="0"/>
              <w:bottom w:val="outset" w:color="auto" w:sz="6" w:space="0"/>
            </w:tcBorders>
            <w:vAlign w:val="center"/>
          </w:tcPr>
          <w:p>
            <w:pPr>
              <w:spacing w:line="540" w:lineRule="exact"/>
              <w:ind w:right="340" w:firstLine="555"/>
              <w:rPr>
                <w:rFonts w:ascii="仿宋_GB2312" w:hAnsi="仿宋" w:eastAsia="仿宋_GB2312" w:cs="Arial"/>
                <w:color w:val="auto"/>
                <w:kern w:val="0"/>
                <w:sz w:val="32"/>
                <w:szCs w:val="32"/>
                <w:highlight w:val="none"/>
              </w:rPr>
            </w:pPr>
            <w:r>
              <w:rPr>
                <w:rFonts w:hint="eastAsia" w:ascii="仿宋_GB2312" w:hAnsi="仿宋" w:eastAsia="仿宋_GB2312" w:cs="Arial"/>
                <w:color w:val="auto"/>
                <w:kern w:val="0"/>
                <w:sz w:val="32"/>
                <w:szCs w:val="32"/>
                <w:highlight w:val="none"/>
              </w:rPr>
              <w:t>安家费一次性给付，购房补助费分五年平均支付，如因个人需要也可申请一次性支付购房补助费。鉴于专业（学科）建设需要和师资队伍实际，学校紧缺急需岗位中的护理博士、口腔医学博士、卫生检验博士岗位安家费及购房补助费在对应标准的基础上提高50%。申请使用科研启动费须向学校科研信息中心提交科研项目计划书，由科研信息中心按照科研启动经费使用管理相关办法执行审批。</w:t>
            </w:r>
          </w:p>
        </w:tc>
      </w:tr>
    </w:tbl>
    <w:p>
      <w:pPr>
        <w:spacing w:line="540" w:lineRule="exact"/>
        <w:ind w:right="340" w:firstLine="640" w:firstLineChars="200"/>
        <w:rPr>
          <w:rFonts w:ascii="仿宋_GB2312" w:hAnsi="仿宋" w:eastAsia="仿宋_GB2312"/>
          <w:b/>
          <w:color w:val="auto"/>
          <w:kern w:val="32"/>
          <w:sz w:val="32"/>
          <w:szCs w:val="32"/>
          <w:highlight w:val="none"/>
        </w:rPr>
      </w:pPr>
      <w:r>
        <w:rPr>
          <w:rFonts w:hint="eastAsia" w:ascii="仿宋_GB2312" w:hAnsi="仿宋" w:eastAsia="仿宋_GB2312"/>
          <w:b/>
          <w:bCs/>
          <w:color w:val="auto"/>
          <w:kern w:val="32"/>
          <w:sz w:val="32"/>
          <w:szCs w:val="32"/>
          <w:highlight w:val="none"/>
        </w:rPr>
        <w:t>（2）</w:t>
      </w:r>
      <w:r>
        <w:rPr>
          <w:rFonts w:hint="eastAsia" w:ascii="仿宋_GB2312" w:hAnsi="仿宋" w:eastAsia="仿宋_GB2312"/>
          <w:b/>
          <w:color w:val="auto"/>
          <w:kern w:val="32"/>
          <w:sz w:val="32"/>
          <w:szCs w:val="32"/>
          <w:highlight w:val="none"/>
        </w:rPr>
        <w:t>编制外引进人才的工作待遇</w:t>
      </w:r>
    </w:p>
    <w:p>
      <w:pPr>
        <w:spacing w:line="540" w:lineRule="exact"/>
        <w:ind w:right="340" w:firstLine="640" w:firstLineChars="200"/>
        <w:rPr>
          <w:rFonts w:ascii="仿宋_GB2312" w:hAnsi="仿宋" w:eastAsia="仿宋_GB2312"/>
          <w:b/>
          <w:color w:val="auto"/>
          <w:kern w:val="32"/>
          <w:sz w:val="32"/>
          <w:szCs w:val="32"/>
          <w:highlight w:val="none"/>
        </w:rPr>
      </w:pPr>
      <w:r>
        <w:rPr>
          <w:rFonts w:hint="eastAsia" w:ascii="仿宋_GB2312" w:hAnsi="仿宋" w:eastAsia="仿宋_GB2312"/>
          <w:color w:val="auto"/>
          <w:kern w:val="32"/>
          <w:sz w:val="32"/>
          <w:szCs w:val="32"/>
          <w:highlight w:val="none"/>
        </w:rPr>
        <w:t>能全职在</w:t>
      </w:r>
      <w:r>
        <w:rPr>
          <w:rFonts w:ascii="仿宋_GB2312" w:hAnsi="仿宋" w:eastAsia="仿宋_GB2312"/>
          <w:color w:val="auto"/>
          <w:kern w:val="32"/>
          <w:sz w:val="32"/>
          <w:szCs w:val="32"/>
          <w:highlight w:val="none"/>
        </w:rPr>
        <w:t>学校</w:t>
      </w:r>
      <w:r>
        <w:rPr>
          <w:rFonts w:hint="eastAsia" w:ascii="仿宋_GB2312" w:hAnsi="仿宋" w:eastAsia="仿宋_GB2312"/>
          <w:color w:val="auto"/>
          <w:kern w:val="32"/>
          <w:sz w:val="32"/>
          <w:szCs w:val="32"/>
          <w:highlight w:val="none"/>
        </w:rPr>
        <w:t>工作且每年在校工作时间不低于9个月，人事关系未转入</w:t>
      </w:r>
      <w:r>
        <w:rPr>
          <w:rFonts w:ascii="仿宋_GB2312" w:hAnsi="仿宋" w:eastAsia="仿宋_GB2312"/>
          <w:color w:val="auto"/>
          <w:kern w:val="32"/>
          <w:sz w:val="32"/>
          <w:szCs w:val="32"/>
          <w:highlight w:val="none"/>
        </w:rPr>
        <w:t>学校</w:t>
      </w:r>
      <w:r>
        <w:rPr>
          <w:rFonts w:hint="eastAsia" w:ascii="仿宋_GB2312" w:hAnsi="仿宋" w:eastAsia="仿宋_GB2312"/>
          <w:color w:val="auto"/>
          <w:kern w:val="32"/>
          <w:sz w:val="32"/>
          <w:szCs w:val="32"/>
          <w:highlight w:val="none"/>
        </w:rPr>
        <w:t>的引进人才，工资待遇按年薪制执行，一人一策，年薪的80%按月平均拨付，年薪的20%在当年度完成约定的职责和工作任务后一次付清。</w:t>
      </w:r>
      <w:r>
        <w:rPr>
          <w:rFonts w:hint="eastAsia" w:ascii="仿宋_GB2312" w:hAnsi="仿宋" w:eastAsia="仿宋_GB2312"/>
          <w:color w:val="auto"/>
          <w:sz w:val="32"/>
          <w:szCs w:val="32"/>
          <w:highlight w:val="none"/>
        </w:rPr>
        <w:t>年薪中含缴交五险一金所需费用，</w:t>
      </w:r>
      <w:r>
        <w:rPr>
          <w:rFonts w:hint="eastAsia" w:ascii="仿宋_GB2312" w:hAnsi="仿宋" w:eastAsia="仿宋_GB2312"/>
          <w:color w:val="auto"/>
          <w:kern w:val="32"/>
          <w:sz w:val="32"/>
          <w:szCs w:val="32"/>
          <w:highlight w:val="none"/>
        </w:rPr>
        <w:t>五险一金按照学校编制外人员管理相关规定执行。</w:t>
      </w:r>
      <w:r>
        <w:rPr>
          <w:rFonts w:hint="eastAsia" w:ascii="仿宋_GB2312" w:hAnsi="仿宋" w:eastAsia="仿宋_GB2312" w:cs="Arial"/>
          <w:color w:val="auto"/>
          <w:kern w:val="0"/>
          <w:sz w:val="32"/>
          <w:szCs w:val="32"/>
          <w:highlight w:val="none"/>
        </w:rPr>
        <w:t>进校工作后第一年、第二年</w:t>
      </w:r>
      <w:r>
        <w:rPr>
          <w:rFonts w:hint="eastAsia" w:ascii="仿宋_GB2312" w:hAnsi="仿宋" w:eastAsia="仿宋_GB2312"/>
          <w:color w:val="auto"/>
          <w:kern w:val="32"/>
          <w:sz w:val="32"/>
          <w:szCs w:val="32"/>
          <w:highlight w:val="none"/>
        </w:rPr>
        <w:t>，由学校支付租房补贴2000元/月</w:t>
      </w:r>
      <w:r>
        <w:rPr>
          <w:rFonts w:hint="eastAsia" w:ascii="仿宋_GB2312" w:hAnsi="仿宋" w:eastAsia="仿宋"/>
          <w:color w:val="auto"/>
          <w:kern w:val="32"/>
          <w:sz w:val="32"/>
          <w:szCs w:val="32"/>
          <w:highlight w:val="none"/>
        </w:rPr>
        <w:t>˙</w:t>
      </w:r>
      <w:r>
        <w:rPr>
          <w:rFonts w:hint="eastAsia" w:ascii="仿宋_GB2312" w:hAnsi="仿宋" w:eastAsia="仿宋_GB2312"/>
          <w:color w:val="auto"/>
          <w:kern w:val="32"/>
          <w:sz w:val="32"/>
          <w:szCs w:val="32"/>
          <w:highlight w:val="none"/>
        </w:rPr>
        <w:t>人。</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2、柔性引进人才的工作待遇</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柔性引进的人才，工作待遇根据其个人条件及实际在校服务时间、实际工作任务等情况与本人商定，签订聘用合同。</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lang w:eastAsia="zh-CN"/>
        </w:rPr>
        <w:t>（二）</w:t>
      </w:r>
      <w:r>
        <w:rPr>
          <w:rFonts w:hint="eastAsia" w:ascii="仿宋_GB2312" w:hAnsi="仿宋" w:eastAsia="仿宋_GB2312"/>
          <w:b/>
          <w:color w:val="auto"/>
          <w:kern w:val="32"/>
          <w:sz w:val="32"/>
          <w:szCs w:val="32"/>
          <w:highlight w:val="none"/>
        </w:rPr>
        <w:t>职称评聘</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全职引进人才可根据其实际专业技术水平和业绩成果等，按照学校职称评聘方案评聘职称。符合泉州市高层次人才职称直聘规定的予以申报直聘相应级别。</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（三）工作条件</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学校为引进人才提供必要的工作场所、仪器设备。</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（四）交通、住宿费、体检费报销</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应聘人员正式入职后，可报销本人来校参加考核面试的交通费、考核前一天住宿费，交通费、住宿费按不超过学校差旅管理规定标准凭正式发票（抬头单位：泉州医学高等专科学校）报销；并报销本人办理入职手续的体检费用。</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六、引进程序</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（一）编制内招聘引进程序</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1</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制定计划</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由学校人事处、教学教辅部门根据学校师资队伍建设规划、结构、专业（学科）建设需要，原则上每年分上半年和下半年制定学校高层次人才引进招聘计划（包括紧缺急需人才和非紧缺急需人才），报学校研究通过后执行。</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2</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发布公告</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人事处按照规定程序向相关部门报批引进招聘计划，审批后向社会发布人才引进招聘信息。</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3</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报名应聘</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（1）应聘人员应提供真实有效的求职简历，包括如下内容：</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①如实填写《报名登记表》；</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②有关学历、学位、职称及身份证等复印件，学历及学位在线验证报告，海外学历还需提供经国家教育部留学服务中心认证的国（境）外学历证书复印件；</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③主要学术水平或业绩成果的证明材料复印件，包括代表性论著、获得专利、产品，获得重要奖项，主持（参与）过的主要项目等。</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（2）人事处对应聘人员的学历背景、工作经历、教学科研成果及获奖等情况进行审核，确认应聘材料的真实性和有效性。引进人才岗位涉及须对学术水平做出评价的，报校学术委员会进行评定。</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4</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组织业务考核</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学校组织考核小组，根据岗位性质、特点采取面谈了解等方式对应聘人员的专业知识、业务水平、科研能力等情况进行考核。考核小组对应聘人员进行考核、评价，提出考核意见。考核过程接受学校纪检监察部门的监督。</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5</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心理健康测试</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由学校人事处联系专业机构组织应聘人员开展心理健康测试。</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6</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确定引进人选</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根据考核和心理健康测试情况确定引进人选，对批准同意引进的人才，由人事处组织体检、考察、公示、办理相关手续，并与引进对象签订聘用合同及服务协议。</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符合调动要求的高层次人才，学校将按照泉州市人事调配相关政策予以办理调动手续。</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lang w:eastAsia="zh-CN"/>
        </w:rPr>
        <w:t>（</w:t>
      </w:r>
      <w:r>
        <w:rPr>
          <w:rFonts w:hint="eastAsia" w:ascii="仿宋_GB2312" w:hAnsi="仿宋" w:eastAsia="仿宋_GB2312"/>
          <w:b/>
          <w:color w:val="auto"/>
          <w:kern w:val="32"/>
          <w:sz w:val="32"/>
          <w:szCs w:val="32"/>
          <w:highlight w:val="none"/>
          <w:lang w:val="en-US" w:eastAsia="zh-CN"/>
        </w:rPr>
        <w:t>二</w:t>
      </w:r>
      <w:r>
        <w:rPr>
          <w:rFonts w:hint="eastAsia" w:ascii="仿宋_GB2312" w:hAnsi="仿宋" w:eastAsia="仿宋_GB2312"/>
          <w:b/>
          <w:color w:val="auto"/>
          <w:kern w:val="32"/>
          <w:sz w:val="32"/>
          <w:szCs w:val="32"/>
          <w:highlight w:val="none"/>
          <w:lang w:eastAsia="zh-CN"/>
        </w:rPr>
        <w:t>）</w:t>
      </w:r>
      <w:r>
        <w:rPr>
          <w:rFonts w:hint="eastAsia" w:ascii="仿宋_GB2312" w:hAnsi="仿宋" w:eastAsia="仿宋_GB2312"/>
          <w:b/>
          <w:color w:val="auto"/>
          <w:kern w:val="32"/>
          <w:sz w:val="32"/>
          <w:szCs w:val="32"/>
          <w:highlight w:val="none"/>
        </w:rPr>
        <w:t>编制外人才引进程序</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1</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报名应聘</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（1）应聘人员应向提供真实有效的求职简历，包括如下内容：</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①提交个人简历情况；</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②有关学历、学位、职称及身份证等复印件，学历及学位在线验证报告，海外学历还需提供经国家教育部留学服务中心认证的国（境）外学历证书复印件；</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③主要学术水平或业绩成果的证明材料复印件，包括代表性论著、获得专利、产品，获得重要奖项，主持（参与）过的主要项目等。</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（2）人事处对应聘人员的学历背景、工作经历、教学科研成果及获奖等情况进行审核，确认应聘材料的真实性和有效性。引进人才岗位涉及须对学术水平做出评价的，报校学术委员会进行评定。</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2</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组织集体评议</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学校组织评议小组，根据岗位性质、特点采取面谈了解等方式对应聘人员的专业知识、业务水平、科研能力等情况进行评议，根据岗位及引进人才科研基础、教学水平等，与其确定聘期内的工作目标、任务，并集体研究确定引进人才待遇。</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3</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心理健康测试（仅全职引进人才参加）</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通过集体评议人员，由学校人事处联系专业机构组织开展心理健康测试。</w:t>
      </w:r>
    </w:p>
    <w:p>
      <w:pPr>
        <w:numPr>
          <w:ilvl w:val="0"/>
          <w:numId w:val="0"/>
        </w:numPr>
        <w:spacing w:line="540" w:lineRule="exact"/>
        <w:ind w:left="640" w:right="340" w:firstLine="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lang w:val="en-US" w:eastAsia="zh-CN"/>
        </w:rPr>
        <w:t>4.</w:t>
      </w:r>
      <w:r>
        <w:rPr>
          <w:rFonts w:hint="eastAsia" w:ascii="仿宋_GB2312" w:hAnsi="仿宋" w:eastAsia="仿宋_GB2312"/>
          <w:color w:val="auto"/>
          <w:kern w:val="32"/>
          <w:sz w:val="32"/>
          <w:szCs w:val="32"/>
          <w:highlight w:val="none"/>
        </w:rPr>
        <w:t>确定引进</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根据心理健康测试情况确定是否同意引进，对批准同意引进的人才，由人事处组织体检（仅全职引进人才参加）、办理相关手续，并与引进对象签订聘用合同。</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七、考核、服务与管理</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（一）高层次人才实行聘约管理，所有引进人才均须与学校签订正式书面聘用合同。</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lang w:eastAsia="zh-CN"/>
        </w:rPr>
        <w:t>（二）</w:t>
      </w:r>
      <w:r>
        <w:rPr>
          <w:rFonts w:hint="eastAsia" w:ascii="仿宋_GB2312" w:hAnsi="仿宋" w:eastAsia="仿宋_GB2312"/>
          <w:color w:val="auto"/>
          <w:kern w:val="32"/>
          <w:sz w:val="32"/>
          <w:szCs w:val="32"/>
          <w:highlight w:val="none"/>
        </w:rPr>
        <w:t>编制内高层次人才按事业单位相关管理规定进行管理和考核。编制外高层次人才日常管理在合同中约定，实行聘期内年度业绩考核和聘约期满考核。在聘期内年度业绩考核由所在用人部门在考核期限前一星期根据聘用合同规定的工作任务及岗位职责进行考核，须提交考核表和相关证明材料，并将考核结果报人事处复核。聘约期满考核，由学校在聘约期满前一个月组织考核并根据考核结果确定剩余待遇是否兑现及是否续聘。</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三）受聘的高层次人才在服务期限内原则上不得调离或辞职，如因个人原因确需在服务期限内调离或辞职的，必须向学校缴纳违约金，服务期每少一年须缴纳违约金2万元，有享受安家费、购房补助费、租房补贴的同时按未完成服务期限比例（按月计算）退还学校给予的安家费、购房补助费、租房补贴等全部或部分费用。</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四）引进人才在聘期内从事博士后研究、访学研修或因其他原因未能在岗工作的，可申请暂缓执行聘期合同或服务协议，经学校同意后，签订补充合同或服务协议，待复岗后继续履行合同或服务协议。编制外引进人才未在岗期间停发一切薪酬，复岗工作后，按实际不在岗工作时间顺延服务期，补发相应薪酬。</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（五）引进人才有下列情形之一的，学校可中止聘期合同，取消并追回所享受待遇，造成损失的，视情况由当事人予以赔偿：</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1</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违反法律和党纪政纪受到处理和处分；</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2</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违反《新时代高校教师职业行为十项准则》或存在《泉州医学高等专科学校教师职业行为负面清单及师德失范行为处理办法（试行）》所列行为的；</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3</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不按聘期合同履行职责；</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4</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未经学校同意，出国逾期不归或擅自脱离岗位；</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5</w:t>
      </w:r>
      <w:r>
        <w:rPr>
          <w:rFonts w:hint="eastAsia" w:ascii="仿宋_GB2312" w:hAnsi="仿宋" w:eastAsia="仿宋_GB2312"/>
          <w:color w:val="auto"/>
          <w:kern w:val="32"/>
          <w:sz w:val="32"/>
          <w:szCs w:val="32"/>
          <w:highlight w:val="none"/>
          <w:lang w:val="en-US" w:eastAsia="zh-CN"/>
        </w:rPr>
        <w:t>.</w:t>
      </w:r>
      <w:r>
        <w:rPr>
          <w:rFonts w:hint="eastAsia" w:ascii="仿宋_GB2312" w:hAnsi="仿宋" w:eastAsia="仿宋_GB2312"/>
          <w:color w:val="auto"/>
          <w:kern w:val="32"/>
          <w:sz w:val="32"/>
          <w:szCs w:val="32"/>
          <w:highlight w:val="none"/>
        </w:rPr>
        <w:t>因个人原因给学校造成重大损失。</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（六）各职能部门要根据本部门职责，帮助高层次人才解决工作和生活上的困难和问题，着力构建分工合作、运转协调、服务周到、快捷高效的引进人才服务绿色通道。</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（七）引进高层次人才与原工作单位之间产生的合同、经济等问题由引进人才本人负责。</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八、引进人才工作分工</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（一）人事处负责人才引进工作的组织、协调、服务等工作，具体落实人才引进相关政策，办理相关引进手续。</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lang w:eastAsia="zh-CN"/>
        </w:rPr>
        <w:t>（二）</w:t>
      </w:r>
      <w:r>
        <w:rPr>
          <w:rFonts w:hint="eastAsia" w:ascii="仿宋_GB2312" w:hAnsi="仿宋" w:eastAsia="仿宋_GB2312"/>
          <w:color w:val="auto"/>
          <w:kern w:val="32"/>
          <w:sz w:val="32"/>
          <w:szCs w:val="32"/>
          <w:highlight w:val="none"/>
        </w:rPr>
        <w:t>各院部需协助做好人才引进计划的拟定，发挥熟悉行业人才资源情况较为熟悉的优势，积极挖掘、引荐目标人才，有针对性地做好人才的联系、引进工作；并负责引进人才的日常管理。</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（三）党务工作部负责引进人才的党组织关系转移手续办理，并根据上级政策要求，对从国（境）外引进的人才进行政治考核。</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（四）科研信息中心会同相关院部负责引进人才科研经费预算的编制、执行、使用，并按照</w:t>
      </w:r>
      <w:r>
        <w:rPr>
          <w:rFonts w:ascii="仿宋_GB2312" w:hAnsi="仿宋" w:eastAsia="仿宋_GB2312"/>
          <w:color w:val="auto"/>
          <w:kern w:val="32"/>
          <w:sz w:val="32"/>
          <w:szCs w:val="32"/>
          <w:highlight w:val="none"/>
        </w:rPr>
        <w:t>学校</w:t>
      </w:r>
      <w:r>
        <w:rPr>
          <w:rFonts w:hint="eastAsia" w:ascii="仿宋_GB2312" w:hAnsi="仿宋" w:eastAsia="仿宋_GB2312"/>
          <w:color w:val="auto"/>
          <w:kern w:val="32"/>
          <w:sz w:val="32"/>
          <w:szCs w:val="32"/>
          <w:highlight w:val="none"/>
        </w:rPr>
        <w:t>相关规定对引进人才开展科研管理。</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（五）后勤管理处负责协助引进人才租房等后勤保障工作。</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（六）其他有关职能部门要协助做好引进人才各项服务管理工作。</w:t>
      </w:r>
    </w:p>
    <w:p>
      <w:pPr>
        <w:spacing w:line="540" w:lineRule="exact"/>
        <w:ind w:right="340" w:firstLine="643" w:firstLineChars="200"/>
        <w:rPr>
          <w:rFonts w:ascii="仿宋_GB2312" w:hAnsi="仿宋" w:eastAsia="仿宋_GB2312"/>
          <w:b/>
          <w:color w:val="auto"/>
          <w:kern w:val="32"/>
          <w:sz w:val="32"/>
          <w:szCs w:val="32"/>
          <w:highlight w:val="none"/>
        </w:rPr>
      </w:pPr>
      <w:r>
        <w:rPr>
          <w:rFonts w:hint="eastAsia" w:ascii="仿宋_GB2312" w:hAnsi="仿宋" w:eastAsia="仿宋_GB2312"/>
          <w:b/>
          <w:color w:val="auto"/>
          <w:kern w:val="32"/>
          <w:sz w:val="32"/>
          <w:szCs w:val="32"/>
          <w:highlight w:val="none"/>
        </w:rPr>
        <w:t>九、其他事宜</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（一）符合本办法的各类引进人才，有符合福建省、泉州市引进人才条件的，由学校上报省、市政府审核确认，按照“待遇从优”原则，除享受学校优惠政策外，同时享受省、市政府规定的相关待遇。</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lang w:eastAsia="zh-CN"/>
        </w:rPr>
        <w:t>（二）</w:t>
      </w:r>
      <w:r>
        <w:rPr>
          <w:rFonts w:hint="eastAsia" w:ascii="仿宋_GB2312" w:hAnsi="仿宋" w:eastAsia="仿宋_GB2312"/>
          <w:color w:val="auto"/>
          <w:kern w:val="32"/>
          <w:sz w:val="32"/>
          <w:szCs w:val="32"/>
          <w:highlight w:val="none"/>
        </w:rPr>
        <w:t>调动人员符合引进人才条件类别的，按本文件享受待遇，调入岗位是否属于紧缺急需高层次人才岗位参照当年度学校制定的引进招聘计划确定。因学校发展须急需引进的人才，经学校研究同意，实行“一人一策、一事一议”。</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（三）安家费、购房补助费、租房补贴、年薪及相关政策补助费均为税前金额，且各种待遇所涉及的财务手续及费用严格按照国家有关政策和法规执行。</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（四）引进人才研发高新技术、转化科研成果、发展高新技术产业，取得成就者，产权收益按照国家和学校有关规定执行。</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（五）按学校引进人才相关办法享受过学校发放的安家费、购房补助费待遇的高层次人才离校后再入职，不再享受本办法规定学校发放的安家费、购房补助费待遇。</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（六）本办法自发布之日起执行，《泉州医学高等专科学校高层次创业创新人才引进办法》（泉医专委</w:t>
      </w:r>
      <w:r>
        <w:rPr>
          <w:rFonts w:hint="eastAsia" w:ascii="仿宋_GB2312" w:hAnsi="仿宋" w:eastAsia="仿宋_GB2312"/>
          <w:color w:val="auto"/>
          <w:sz w:val="32"/>
          <w:szCs w:val="32"/>
          <w:highlight w:val="none"/>
        </w:rPr>
        <w:t>〔2015〕</w:t>
      </w:r>
      <w:r>
        <w:rPr>
          <w:rFonts w:hint="eastAsia" w:ascii="仿宋_GB2312" w:hAnsi="仿宋" w:eastAsia="仿宋_GB2312"/>
          <w:color w:val="auto"/>
          <w:kern w:val="32"/>
          <w:sz w:val="32"/>
          <w:szCs w:val="32"/>
          <w:highlight w:val="none"/>
        </w:rPr>
        <w:t>33号）同时废止。</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（七）未尽事宜按照国家有关规定办理。</w:t>
      </w:r>
    </w:p>
    <w:p>
      <w:pPr>
        <w:spacing w:line="540" w:lineRule="exact"/>
        <w:ind w:right="340" w:firstLine="640" w:firstLineChars="200"/>
        <w:rPr>
          <w:rFonts w:ascii="仿宋_GB2312" w:hAnsi="仿宋" w:eastAsia="仿宋_GB2312"/>
          <w:color w:val="auto"/>
          <w:kern w:val="32"/>
          <w:sz w:val="32"/>
          <w:szCs w:val="32"/>
          <w:highlight w:val="none"/>
        </w:rPr>
      </w:pPr>
      <w:r>
        <w:rPr>
          <w:rFonts w:hint="eastAsia" w:ascii="仿宋_GB2312" w:hAnsi="仿宋" w:eastAsia="仿宋_GB2312"/>
          <w:color w:val="auto"/>
          <w:kern w:val="32"/>
          <w:sz w:val="32"/>
          <w:szCs w:val="32"/>
          <w:highlight w:val="none"/>
        </w:rPr>
        <w:t>（八）本办法由学校人事处负责解释。</w:t>
      </w:r>
    </w:p>
    <w:p>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ˎ̥">
    <w:altName w:val="Times New Roman"/>
    <w:panose1 w:val="00000000000000000000"/>
    <w:charset w:val="00"/>
    <w:family w:val="modern"/>
    <w:pitch w:val="default"/>
    <w:sig w:usb0="00000000" w:usb1="00000000" w:usb2="00000000" w:usb3="00000000" w:csb0="00040001" w:csb1="00000000"/>
  </w:font>
  <w:font w:name="Arial">
    <w:panose1 w:val="020B0604020202020204"/>
    <w:charset w:val="00"/>
    <w:family w:val="decorative"/>
    <w:pitch w:val="default"/>
    <w:sig w:usb0="E0002AFF" w:usb1="C0007843" w:usb2="00000009" w:usb3="00000000" w:csb0="400001FF" w:csb1="FFFF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新宋体">
    <w:panose1 w:val="02010609030101010101"/>
    <w:charset w:val="86"/>
    <w:family w:val="decorative"/>
    <w:pitch w:val="default"/>
    <w:sig w:usb0="00000003" w:usb1="288F0000" w:usb2="00000006" w:usb3="00000000" w:csb0="00040001" w:csb1="00000000"/>
  </w:font>
  <w:font w:name="微软雅黑">
    <w:panose1 w:val="020B0503020204020204"/>
    <w:charset w:val="86"/>
    <w:family w:val="roman"/>
    <w:pitch w:val="default"/>
    <w:sig w:usb0="80000287" w:usb1="280F3C52" w:usb2="00000016" w:usb3="00000000" w:csb0="0004001F" w:csb1="00000000"/>
  </w:font>
  <w:font w:name="ˎ̥">
    <w:altName w:val="Times New Roman"/>
    <w:panose1 w:val="00000000000000000000"/>
    <w:charset w:val="00"/>
    <w:family w:val="swiss"/>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01E65"/>
    <w:rsid w:val="23D53010"/>
    <w:rsid w:val="26E01E37"/>
    <w:rsid w:val="33801E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2022-06-07T09:48:00Z</dcterms:created>
  <dc:creator>蔡娇娟(1267661)</dc:creator>
  <cp:lastModifiedBy>蔡娇娟(1267661)</cp:lastModifiedBy>
  <dcterms:modified xsi:type="dcterms:W3CDTF">2022-06-08T06:50:29Z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