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widowControl/>
        <w:numPr>
          <w:ilvl w:val="0"/>
          <w:numId w:val="0"/>
        </w:numPr>
        <w:spacing w:line="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南海经济开发区人民医院高层次人才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用人计划及岗位要求</w:t>
      </w:r>
    </w:p>
    <w:tbl>
      <w:tblPr>
        <w:tblStyle w:val="4"/>
        <w:tblW w:w="14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053"/>
        <w:gridCol w:w="843"/>
        <w:gridCol w:w="1701"/>
        <w:gridCol w:w="2039"/>
        <w:gridCol w:w="1988"/>
        <w:gridCol w:w="1087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06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（职称）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0101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神经外科医生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学（B100301）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本科及以上学历、学士学位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神经外科副主任医师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及以上职称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有担任二甲及以上医院临床科主任任职工作经历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20220102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普通内科医生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学（B100301）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本科及以上学历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内科副主任医师及以上职称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20220103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消化内科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学（B100301）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本科及以上学历、学士学位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消化内科副主任医师及以上职称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20220104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中医骨伤科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中医骨伤科学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（B100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本科及以上学历、学士学位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中医骨伤科副主任中医师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及以上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有担任二甲及以上医院临床科主任任职工作经历，有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全科医学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20220105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神经内科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学（B100301）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及以上学历、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神经内科副主任医师及以上职称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有全科医学执业范围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20220106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耳鼻咽喉科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医生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学（B100301）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本科及以上学历、学士学位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耳鼻咽喉科学副主任医师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及以上职称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眼耳鼻咽喉科执业范围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以上所列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期限计算截止日期为接受报名截止日。</w:t>
      </w:r>
    </w:p>
    <w:sectPr>
      <w:pgSz w:w="16838" w:h="11906" w:orient="landscape"/>
      <w:pgMar w:top="1160" w:right="998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B3CA5"/>
    <w:rsid w:val="02F14CE7"/>
    <w:rsid w:val="09B4147E"/>
    <w:rsid w:val="14226FC4"/>
    <w:rsid w:val="1AD200EE"/>
    <w:rsid w:val="298505A2"/>
    <w:rsid w:val="36BA16FC"/>
    <w:rsid w:val="4CDB3CA5"/>
    <w:rsid w:val="531356F0"/>
    <w:rsid w:val="71B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656</Characters>
  <Lines>0</Lines>
  <Paragraphs>0</Paragraphs>
  <TotalTime>3</TotalTime>
  <ScaleCrop>false</ScaleCrop>
  <LinksUpToDate>false</LinksUpToDate>
  <CharactersWithSpaces>656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2022-04-02T07:53:00Z</dcterms:created>
  <dc:creator>太极   熊</dc:creator>
  <cp:lastModifiedBy>Administrator</cp:lastModifiedBy>
  <dcterms:modified xsi:type="dcterms:W3CDTF">2022-04-07T03:57:15Z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6F838B4B350342A9B4C4A98A627F7A95</vt:lpwstr>
  </property>
</Properties>
</file>